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376A">
      <w:pPr>
        <w:shd w:val="clear" w:color="auto" w:fill="FFFFFF"/>
        <w:spacing w:line="600" w:lineRule="exact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附件6</w:t>
      </w:r>
    </w:p>
    <w:p w14:paraId="1D69131E">
      <w:pPr>
        <w:spacing w:line="760" w:lineRule="exact"/>
        <w:ind w:firstLine="880" w:firstLineChars="200"/>
        <w:rPr>
          <w:rFonts w:eastAsia="方正小标宋简体" w:cs="方正小标宋简体"/>
          <w:color w:val="000000"/>
          <w:sz w:val="44"/>
          <w:szCs w:val="44"/>
        </w:rPr>
      </w:pPr>
    </w:p>
    <w:p w14:paraId="626667F6">
      <w:pPr>
        <w:spacing w:line="760" w:lineRule="exact"/>
        <w:ind w:firstLine="88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福建省终身教育课题立项工作方案</w:t>
      </w:r>
    </w:p>
    <w:p w14:paraId="5697FC98">
      <w:pPr>
        <w:shd w:val="clear" w:color="auto" w:fill="FFFFFF"/>
        <w:spacing w:line="600" w:lineRule="exact"/>
        <w:ind w:firstLine="640"/>
        <w:rPr>
          <w:rFonts w:hint="eastAsia" w:eastAsia="黑体" w:cs="黑体"/>
          <w:color w:val="000000"/>
          <w:sz w:val="32"/>
          <w:szCs w:val="32"/>
        </w:rPr>
      </w:pPr>
    </w:p>
    <w:p w14:paraId="1A2FF91A">
      <w:pPr>
        <w:shd w:val="clear" w:color="auto" w:fill="FFFFFF"/>
        <w:spacing w:line="600" w:lineRule="exact"/>
        <w:ind w:firstLine="640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一、课题类别及方向</w:t>
      </w:r>
    </w:p>
    <w:p w14:paraId="2677170E">
      <w:pPr>
        <w:widowControl/>
        <w:shd w:val="clear" w:color="auto" w:fill="FFFFFF"/>
        <w:spacing w:line="600" w:lineRule="exact"/>
        <w:ind w:firstLine="643" w:firstLineChars="200"/>
        <w:rPr>
          <w:rFonts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（一）课题类别</w:t>
      </w:r>
    </w:p>
    <w:p w14:paraId="3368409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分为重点课题和一般课题，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重点课题2年内完成，一般课题1年内完成。</w:t>
      </w:r>
    </w:p>
    <w:p w14:paraId="3F767FC8">
      <w:pPr>
        <w:widowControl/>
        <w:shd w:val="clear" w:color="auto" w:fill="FFFFFF"/>
        <w:spacing w:line="600" w:lineRule="exact"/>
        <w:ind w:firstLine="643" w:firstLineChars="200"/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（二）课题方向</w:t>
      </w:r>
    </w:p>
    <w:p w14:paraId="20E991DD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1.终身教育（终身学习）体制、机制与保障体系建设的研究</w:t>
      </w:r>
    </w:p>
    <w:p w14:paraId="3F276807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2.学习型社会建设（城市、单位、社区、乡村等）及指标体系的研究</w:t>
      </w:r>
    </w:p>
    <w:p w14:paraId="7D6F1819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3.老年教育立法研究</w:t>
      </w:r>
    </w:p>
    <w:p w14:paraId="6C3354A1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4.老年教育创新发展研究</w:t>
      </w:r>
    </w:p>
    <w:p w14:paraId="6C57F4AD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5.农村社区（老年）教育发展模式研究</w:t>
      </w:r>
    </w:p>
    <w:p w14:paraId="527669EC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6.终身教育助力乡村振兴研究</w:t>
      </w:r>
    </w:p>
    <w:p w14:paraId="120B49B2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7.终身教育队伍建设研究</w:t>
      </w:r>
    </w:p>
    <w:p w14:paraId="3F31BD53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8.终身教育课程及学习资源建设研究</w:t>
      </w:r>
    </w:p>
    <w:p w14:paraId="2412821F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9.终身学习公共服务体系建设研究</w:t>
      </w:r>
    </w:p>
    <w:p w14:paraId="7E4F3E3A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10.社区教育融入社区治理的方式与途径研究</w:t>
      </w:r>
    </w:p>
    <w:p w14:paraId="40A70592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11.社区教育模式创新及有效性研究（含数字化学习社区建设研究、社区教育品牌创建研究）</w:t>
      </w:r>
    </w:p>
    <w:p w14:paraId="3DA683A2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12.终身教育学习成果积累、认证与转化实践研究</w:t>
      </w:r>
    </w:p>
    <w:p w14:paraId="2ADDA1CF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13.家校社协同育人机制及模式研究</w:t>
      </w:r>
    </w:p>
    <w:p w14:paraId="6A626665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14.多元主体参与终身教育的机制与途径研究</w:t>
      </w:r>
    </w:p>
    <w:p w14:paraId="5BF1D19D">
      <w:pPr>
        <w:pStyle w:val="4"/>
        <w:keepNext w:val="0"/>
        <w:keepLines w:val="0"/>
        <w:spacing w:before="0" w:after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15.终身教育融合发展研究</w:t>
      </w:r>
    </w:p>
    <w:p w14:paraId="6BBC8872">
      <w:pPr>
        <w:shd w:val="clear" w:color="auto" w:fill="FFFFFF"/>
        <w:spacing w:line="600" w:lineRule="exact"/>
        <w:ind w:firstLine="640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二、申报条件</w:t>
      </w:r>
    </w:p>
    <w:p w14:paraId="3D30A00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1.申报者所在单位须为我省各级各类学校、社区（老年）教育机构和科研院所等。</w:t>
      </w:r>
    </w:p>
    <w:p w14:paraId="250E217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2.申报者必须实际从事社区教育、老年教育等终身教育教学、管理和研究工作并真正承担和负责组织项目的实施。</w:t>
      </w:r>
    </w:p>
    <w:p w14:paraId="7A6DC63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3.每位申报者限报1个项目，所列课题组成员必须征得本人同意，否则视为违规申报，立项后申报信息不得更改。</w:t>
      </w:r>
    </w:p>
    <w:p w14:paraId="102FF9E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4.有以下情况之一者不得申报本次项目：</w:t>
      </w:r>
    </w:p>
    <w:p w14:paraId="38306DE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（1）所主持的终身教育课题因各种原因被撤销者；</w:t>
      </w:r>
    </w:p>
    <w:p w14:paraId="1AB2E4E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（2）所主持的终身教育课题未通过结题者；</w:t>
      </w:r>
    </w:p>
    <w:p w14:paraId="5D1500D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（3）已获得2018年以来终身教育课题立项，无正当理由未提交结题材料者；</w:t>
      </w:r>
    </w:p>
    <w:p w14:paraId="729A462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（4）已获得2018年以来终身教育课题立项的申报者不得以相同或类似选题进行申报。</w:t>
      </w:r>
    </w:p>
    <w:p w14:paraId="67ED7E8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三、工作安排</w:t>
      </w:r>
    </w:p>
    <w:p w14:paraId="69FF01B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（一）申报程序。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由各设区市教育局、平潭综合实验区社会事业局，省终身教育促进委员会各成员单位，各高等院校、省属中等职业学校，社区教育、老年教育机构等组织本区域本单位内项目的申报和推荐工作，推荐结果报省终身教育服务中心组织认定。</w:t>
      </w:r>
    </w:p>
    <w:p w14:paraId="352D6BE1">
      <w:pPr>
        <w:widowControl/>
        <w:shd w:val="clear" w:color="auto" w:fill="FFFFFF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  <w:shd w:val="clear" w:color="auto" w:fill="FFFFFF"/>
        </w:rPr>
        <w:t>（二）材料报送。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单位于每年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规定时间内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报送项目申报表（附表1、2，含word版和加盖公章扫描件），电子版材料通过省终身教育大数据服平台（https://fjba.fjrtvu.edu.cn）上报（具体操作见附件9），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纸质盖章材料（一式两份）邮寄至省终身教育服务中心。</w:t>
      </w:r>
    </w:p>
    <w:p w14:paraId="6BCD316B">
      <w:pPr>
        <w:widowControl/>
        <w:shd w:val="clear" w:color="auto" w:fill="FFFFFF"/>
        <w:spacing w:line="600" w:lineRule="exact"/>
        <w:ind w:firstLine="643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shd w:val="clear" w:color="auto" w:fill="FFFFFF"/>
          <w:lang w:bidi="ar"/>
        </w:rPr>
        <w:t>（三）遴选推荐。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我厅将委托省终身教育服务中心</w:t>
      </w:r>
      <w:r>
        <w:rPr>
          <w:rFonts w:hint="eastAsia" w:eastAsia="仿宋_GB2312" w:cs="仿宋_GB2312"/>
          <w:sz w:val="32"/>
          <w:szCs w:val="32"/>
        </w:rPr>
        <w:t>组织专家，对推荐申报材料进行综合评议，对入选省级</w:t>
      </w:r>
      <w:r>
        <w:rPr>
          <w:rFonts w:hint="eastAsia" w:eastAsia="仿宋_GB2312" w:cs="仿宋_GB2312"/>
          <w:kern w:val="0"/>
          <w:sz w:val="32"/>
          <w:szCs w:val="32"/>
        </w:rPr>
        <w:t>终身教育课题项目</w:t>
      </w:r>
      <w:r>
        <w:rPr>
          <w:rFonts w:hint="eastAsia" w:eastAsia="仿宋_GB2312" w:cs="仿宋_GB2312"/>
          <w:sz w:val="32"/>
          <w:szCs w:val="32"/>
        </w:rPr>
        <w:t>的予以公布。</w:t>
      </w:r>
    </w:p>
    <w:p w14:paraId="5254B83E">
      <w:pPr>
        <w:widowControl/>
        <w:shd w:val="clear" w:color="auto" w:fill="FFFFFF"/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6E5C2B36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附表：1.福建省终身教育研究课题申报书</w:t>
      </w:r>
    </w:p>
    <w:p w14:paraId="74CEDA6C">
      <w:pPr>
        <w:widowControl/>
        <w:shd w:val="clear" w:color="auto" w:fill="FFFFFF"/>
        <w:spacing w:line="6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2.福建省终身教育研究课题汇总表</w:t>
      </w:r>
    </w:p>
    <w:p w14:paraId="05AAAD9D"/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40E7"/>
    <w:rsid w:val="13675A6C"/>
    <w:rsid w:val="17C0399D"/>
    <w:rsid w:val="4E3450DC"/>
    <w:rsid w:val="54F4142B"/>
    <w:rsid w:val="6EE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1002</Characters>
  <Lines>0</Lines>
  <Paragraphs>0</Paragraphs>
  <TotalTime>0</TotalTime>
  <ScaleCrop>false</ScaleCrop>
  <LinksUpToDate>false</LinksUpToDate>
  <CharactersWithSpaces>1002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2025-07-02T09:16:00Z</dcterms:created>
  <dc:creator>CIndy'G</dc:creator>
  <cp:lastModifiedBy>CIndy'G</cp:lastModifiedBy>
  <dcterms:modified xsi:type="dcterms:W3CDTF">2025-07-03T06:39:27Z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40523EEA1A8B42099E952F97379EF6C7_11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