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6391">
      <w:pPr>
        <w:jc w:val="distribute"/>
        <w:rPr>
          <w:rFonts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 w14:paraId="509FAC21">
      <w:pPr>
        <w:spacing w:line="640" w:lineRule="exact"/>
        <w:jc w:val="center"/>
        <w:rPr>
          <w:rFonts w:hint="eastAsia" w:ascii="仿宋_GB2312" w:hAnsi="黑体" w:eastAsia="仿宋_GB2312" w:cs="Times New Roman"/>
          <w:sz w:val="32"/>
          <w:szCs w:val="32"/>
        </w:rPr>
      </w:pPr>
    </w:p>
    <w:p w14:paraId="79AD5077">
      <w:pPr>
        <w:spacing w:line="640" w:lineRule="exact"/>
        <w:jc w:val="center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0DC6B34F">
      <w:pPr>
        <w:widowControl w:val="0"/>
        <w:spacing w:after="0"/>
        <w:ind w:firstLine="200" w:firstLineChars="100"/>
        <w:jc w:val="both"/>
        <w:rPr>
          <w:rFonts w:ascii="Calibri" w:hAnsi="Calibri" w:eastAsia="宋体" w:cs="宋体"/>
          <w:kern w:val="0"/>
          <w:sz w:val="20"/>
          <w:szCs w:val="20"/>
          <w:lang w:val="zh-CN" w:eastAsia="zh-CN" w:bidi="zh-CN"/>
        </w:rPr>
      </w:pPr>
    </w:p>
    <w:p w14:paraId="3CE9FEB8"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qi2x1wAAAAcBAAAPAAAAAAAAAAEAIAAAACIAAABkcnMv&#10;ZG93bnJldi54bWxQSwECFAAUAAAACACHTuJA5dzqpgQCAAAABAAADgAAAAAAAAABACAAAAAmAQAA&#10;ZHJzL2Uyb0RvYy54bWxQSwUGAAAAAAYABgBZAQAAn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2BF1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《福州软件职业技术学院产业学院合作企业校内实践基地建设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管理办法（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修订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）》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的通知</w:t>
      </w:r>
    </w:p>
    <w:p w14:paraId="4CE9E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B80A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各学院（部），各部（处、室、中心、馆）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：</w:t>
      </w:r>
    </w:p>
    <w:p w14:paraId="10BB5F3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现将《福州软件职业技术学院产业学院合作企业校内实践基地建设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管理办法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》印发给你们，请遵照执行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。</w:t>
      </w:r>
    </w:p>
    <w:p w14:paraId="3BDED6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3607E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F6A829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福州软件职业技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术学院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教务处  </w:t>
      </w:r>
    </w:p>
    <w:p w14:paraId="650EC84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tbl>
      <w:tblPr>
        <w:tblStyle w:val="6"/>
        <w:tblpPr w:leftFromText="180" w:rightFromText="180" w:vertAnchor="page" w:horzAnchor="page" w:tblpX="1439" w:tblpY="14572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 w14:paraId="64D907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 w14:paraId="009AEA6E">
            <w:pPr>
              <w:keepNext w:val="0"/>
              <w:keepLines w:val="0"/>
              <w:suppressLineNumbers w:val="0"/>
              <w:spacing w:before="0" w:beforeAutospacing="0" w:after="100" w:afterAutospacing="0" w:line="590" w:lineRule="exact"/>
              <w:ind w:left="0" w:right="136" w:rightChars="65" w:firstLine="280" w:firstLineChars="100"/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福州软件职业技术学院教务处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 w14:paraId="33ED3528">
            <w:pPr>
              <w:keepNext w:val="0"/>
              <w:keepLines w:val="0"/>
              <w:suppressLineNumbers w:val="0"/>
              <w:spacing w:before="0" w:beforeAutospacing="0" w:after="100" w:afterAutospacing="1" w:line="590" w:lineRule="exact"/>
              <w:ind w:left="0" w:right="136" w:rightChars="65" w:firstLine="840" w:firstLineChars="300"/>
              <w:jc w:val="center"/>
              <w:textAlignment w:val="bottom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月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印</w:t>
            </w:r>
          </w:p>
        </w:tc>
      </w:tr>
    </w:tbl>
    <w:p w14:paraId="3C1B6F6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464DF3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3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福州软件职业技术学院产业学院合作企业</w:t>
      </w:r>
    </w:p>
    <w:p w14:paraId="624F6C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3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校内实践基地建设与管理办法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修订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）</w:t>
      </w:r>
    </w:p>
    <w:p w14:paraId="0BBD92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279" w:leftChars="133" w:right="0" w:firstLine="644" w:firstLineChars="23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CFA20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基地是进行实训教学、科研和社会服务的重要场所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是弘扬社会主义核心价值观，对受教育者进行思想政治教育和职业道德教育，培育劳模精神、劳动精神、工匠精神，传授科学文化与专业知识，培养技术技能，进行职业指导，全面提升高素质技术技能型人才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为进一步加强和规范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产业学院合作企业实践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基地的建设和管理，建设兼具生产、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认证、竞赛、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研发、创新创业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和社会服务等多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于一体的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产学研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基地，特制定本办法。</w:t>
      </w:r>
    </w:p>
    <w:p w14:paraId="66FF6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基地建设的原则</w:t>
      </w:r>
    </w:p>
    <w:p w14:paraId="2E8B34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基地建设遵循以符合人才培养需求为前提，以与专业相匹配、能够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教学任务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基础，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以融入岗位任职要求和企业文化为特色，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以培养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创新型工匠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为目标的原则。</w:t>
      </w:r>
    </w:p>
    <w:p w14:paraId="5E9617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基地建设要坚持“产、学、研、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”一体化相结合，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融入行业企业新技术、新标准、新工艺、新规范，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兼具生产、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认证、竞赛、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研发、创新创业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和社会服务等多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于一体的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产学研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推进校地协同育人机制的建设，突出学生实践能力的培养。</w:t>
      </w:r>
    </w:p>
    <w:p w14:paraId="6B7E6B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基地建设要坚持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教学与就业联动的协同机制，要坚持基地与学生就业基地共建、共享、共管、优势互补的原则。</w:t>
      </w:r>
    </w:p>
    <w:p w14:paraId="76F424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第四条  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基地建设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要坚持通用性原则，设备和平台需市场上广泛使用，符合行业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需要，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不得采用企业定制产品，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且不得与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学校现有教学、实训、管理和评价等系统重叠。</w:t>
      </w:r>
    </w:p>
    <w:p w14:paraId="5B5B8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基地建设的基本程序</w:t>
      </w:r>
    </w:p>
    <w:p w14:paraId="153430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产业学院合作企业深入分析合作共建专业实践教学需要，结合教育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部职业教育专业介绍和专业教学标准，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根据专业培养目标，制订相应的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基地建设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要体现基地建设现状、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岗课赛证分析（匹配度）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建设目标、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建设内容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、容纳学生人数、实习实训内容、师资的配备等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连同人才培养方案、论证表和设备清单提交教务处，详见附件一、附件二。</w:t>
      </w:r>
    </w:p>
    <w:p w14:paraId="6AD7BE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教务处组织行业专家、信息中心对实践基地进行论证，重点从专业和实训标准、岗课赛证、市场价值、数量需求、实践文化、新技术、智能化、通用性和前瞻性等方面进行论证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经学校审批同意后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方可建设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E84CB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产业学院合作企业通过正式招投标办法开展建设，邀请学校招标采购委员会全程参与。</w:t>
      </w:r>
    </w:p>
    <w:p w14:paraId="072A6B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与评估</w:t>
      </w:r>
    </w:p>
    <w:p w14:paraId="16D086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建设完成后，产业学院合作企业整理好招投标材料、设备详细清单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（附件二）、采购合同和发票(列明设备清单）等材料到教学质量管理与科研处，申请验收。</w:t>
      </w:r>
    </w:p>
    <w:p w14:paraId="7B0FEF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教学质量管理与科研处组织信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息中心、资产处、财务处、教学单位现场进行验收，验收合格后，出具验收合格报告。</w:t>
      </w:r>
    </w:p>
    <w:p w14:paraId="46388C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资产处负责对资产进行入库登记和贴标，财务处负责档案留存和资产统计，信息中心负责定期设备检查评估工作。</w:t>
      </w:r>
    </w:p>
    <w:p w14:paraId="759B2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基地管理与职责</w:t>
      </w:r>
    </w:p>
    <w:p w14:paraId="1802E7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教务处为学校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基地的主管单位，负责全校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基地的建设、教学的管理与协调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及时在教务系统中登记，产业学院实践基地优先满足合作办学专业实训需要，空闲时段可用于校内其他专业教学实践。</w:t>
      </w:r>
    </w:p>
    <w:p w14:paraId="201BE6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信息中心负责对实践基地提供技术支持，并按照学校统一要求进行规范管理。</w:t>
      </w:r>
    </w:p>
    <w:p w14:paraId="20E7E0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教学质量管理与科研处按照产业学院验收要求，根据合作协议和招生人数测算，每学年开展两次验收，并作为合作分成款结算依据。</w:t>
      </w:r>
    </w:p>
    <w:p w14:paraId="1DCCE3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基地建设与管理的主体单位，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要有专人负责基地建设、管理和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教学工作，依据人才培养方案和专业教学要求，确保实习内容与职业标准紧密对接。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要完善实训文化、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开发实训项目，制定《实训指导书》，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并落实相关工作。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在协议期限内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仪器设备由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保管。</w:t>
      </w:r>
    </w:p>
    <w:p w14:paraId="0BE867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基地建设单位要采取切实有效的措施，努力提高基地所在单位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指导教师的指导水平。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校企采取“校企双师、双向赋能”模式，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组织本单位专业技术人员、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企业技术骨干、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基地师资队伍，保障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过程与生产过程紧密对接，并对学生的实习实训进行全面考核与评定。</w:t>
      </w:r>
    </w:p>
    <w:p w14:paraId="04444B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基地建设经费保障</w:t>
      </w:r>
    </w:p>
    <w:p w14:paraId="6A5BD4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产业学院合作企业根据合作协议要求设立基地建设专项经费，且每生投入的教学科研仪器设备值不低于3000元（合作协议另有约定除外），根据需要采取整体建设与分步投入相结合方式建设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学校设立实践基地建设的专项经费，积极争取各级财政奖补，政行企校共建共享。</w:t>
      </w:r>
    </w:p>
    <w:p w14:paraId="4756A0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合作企业承诺投入设备价值符合市场行情，符合国家标准、行业标准、安全要求，且设备为全新，原厂原包装产品。保证设备不存在任何担保特权或其他限制使用的权利（如抵押权、质押权、留置权等），没有违反其可能适用的相关法律法规规定，也不会侵犯任何第三人的知识产权及商业秘密等权利。</w:t>
      </w:r>
    </w:p>
    <w:p w14:paraId="6F00A2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则</w:t>
      </w:r>
    </w:p>
    <w:p w14:paraId="79F8A3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本办法自公布之日起实施，解释权归教务处。</w:t>
      </w:r>
    </w:p>
    <w:p w14:paraId="4B6C0C7E"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FF250-A9FA-4D5D-B8C4-6E4DED52C2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F70F28-C103-4068-8AA6-EBD3DA71DA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FF5B3A-1746-4758-88E1-40BCD08056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9F754B-C936-48CA-B1AE-45B95A33A5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3E49EDC-D5D5-4826-8A7D-86D5ADF5B0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2AEC7A16"/>
    <w:rsid w:val="00103897"/>
    <w:rsid w:val="00396FF2"/>
    <w:rsid w:val="06A05249"/>
    <w:rsid w:val="0B45051C"/>
    <w:rsid w:val="0DC461A6"/>
    <w:rsid w:val="121F1CA1"/>
    <w:rsid w:val="1222508C"/>
    <w:rsid w:val="18A72CC1"/>
    <w:rsid w:val="1CDD2D9A"/>
    <w:rsid w:val="24077150"/>
    <w:rsid w:val="29A806F8"/>
    <w:rsid w:val="2AEC7A16"/>
    <w:rsid w:val="2E724C0D"/>
    <w:rsid w:val="32852EF5"/>
    <w:rsid w:val="3567208A"/>
    <w:rsid w:val="3AAF64A1"/>
    <w:rsid w:val="3D80495C"/>
    <w:rsid w:val="3FA806EF"/>
    <w:rsid w:val="40C433C9"/>
    <w:rsid w:val="4BE97AE2"/>
    <w:rsid w:val="51136310"/>
    <w:rsid w:val="547B226F"/>
    <w:rsid w:val="54A62571"/>
    <w:rsid w:val="55F81F79"/>
    <w:rsid w:val="5C45759A"/>
    <w:rsid w:val="5DB627D2"/>
    <w:rsid w:val="608A1A1F"/>
    <w:rsid w:val="6457311E"/>
    <w:rsid w:val="645B3DFE"/>
    <w:rsid w:val="6A2B541E"/>
    <w:rsid w:val="6AC14B2D"/>
    <w:rsid w:val="6CD670D8"/>
    <w:rsid w:val="6E366145"/>
    <w:rsid w:val="70E62CA2"/>
    <w:rsid w:val="70F27898"/>
    <w:rsid w:val="77B72606"/>
    <w:rsid w:val="785D5F3F"/>
    <w:rsid w:val="78A51694"/>
    <w:rsid w:val="7C786539"/>
    <w:rsid w:val="7F4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4"/>
    <w:autoRedefine/>
    <w:semiHidden/>
    <w:unhideWhenUsed/>
    <w:qFormat/>
    <w:uiPriority w:val="99"/>
    <w:pPr>
      <w:ind w:firstLine="420" w:firstLineChars="100"/>
    </w:pPr>
    <w:rPr>
      <w:rFonts w:hAnsi="宋体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2069</Characters>
  <Lines>0</Lines>
  <Paragraphs>0</Paragraphs>
  <TotalTime>7</TotalTime>
  <ScaleCrop>false</ScaleCrop>
  <LinksUpToDate>false</LinksUpToDate>
  <CharactersWithSpaces>2126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2024-05-20T11:31:00Z</dcterms:created>
  <dc:creator>yeceng</dc:creator>
  <cp:lastModifiedBy>HELIOS</cp:lastModifiedBy>
  <dcterms:modified xsi:type="dcterms:W3CDTF">2024-12-19T07:29:09Z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51E25D5FCA1043E09989FB127246BB72_11</vt:lpwstr>
  </property>
</Properties>
</file>