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280F">
      <w:pPr>
        <w:jc w:val="distribute"/>
        <w:rPr>
          <w:rFonts w:ascii="宋体" w:hAnsi="宋体" w:eastAsia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  <w:t>福州软件职业技术学院</w:t>
      </w:r>
    </w:p>
    <w:p w14:paraId="7CF41D8E">
      <w:pPr>
        <w:spacing w:line="640" w:lineRule="exact"/>
        <w:jc w:val="center"/>
        <w:rPr>
          <w:rFonts w:hint="eastAsia" w:ascii="仿宋_GB2312" w:hAnsi="黑体" w:eastAsia="仿宋_GB2312" w:cs="Times New Roman"/>
          <w:sz w:val="32"/>
          <w:szCs w:val="32"/>
        </w:rPr>
      </w:pPr>
    </w:p>
    <w:p w14:paraId="6783501A">
      <w:pPr>
        <w:spacing w:line="640" w:lineRule="exact"/>
        <w:jc w:val="center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150C5308">
      <w:pPr>
        <w:widowControl w:val="0"/>
        <w:spacing w:after="0"/>
        <w:ind w:firstLine="200" w:firstLineChars="100"/>
        <w:jc w:val="both"/>
        <w:rPr>
          <w:rFonts w:ascii="Calibri" w:hAnsi="Calibri" w:eastAsia="宋体" w:cs="宋体"/>
          <w:kern w:val="0"/>
          <w:sz w:val="20"/>
          <w:szCs w:val="20"/>
          <w:lang w:val="zh-CN" w:eastAsia="zh-CN" w:bidi="zh-CN"/>
        </w:rPr>
      </w:pPr>
    </w:p>
    <w:p w14:paraId="185B1EC2"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3.9pt;height:0.3pt;width:480.95pt;z-index:251659264;mso-width-relative:page;mso-height-relative:page;" filled="f" stroked="t" coordsize="21600,21600" o:gfxdata="UEsDBAoAAAAAAIdO4kAAAAAAAAAAAAAAAAAEAAAAZHJzL1BLAwQUAAAACACHTuJAdqotsdcAAAAH&#10;AQAADwAAAGRycy9kb3ducmV2LnhtbE2PMU/DMBSEdyT+g/WQ2FonoaJNyEsHEBIDCy1IHd34NQ6N&#10;7RA7bcqv5zHBeLrT3XflerKdONEQWu8Q0nkCglztdesahPft82wFIkTltOq8I4QLBVhX11elKrQ/&#10;uzc6bWIjuMSFQiGYGPtCylAbsirMfU+OvYMfrIosh0bqQZ253HYyS5J7aVXreMGonh4N1cfNaBE+&#10;doa+svzp1Ry333ef8WWUl2lEvL1JkwcQkab4F4ZffEaHipn2fnQ6iA5hluYZRxGW/ID9fJEtQewR&#10;VguQVSn/81c/UEsDBBQAAAAIAIdO4kDl3OqmBAIAAAAEAAAOAAAAZHJzL2Uyb0RvYy54bWytU72O&#10;EzEQ7pF4B8s92c0homiVzRUXQoMgEj/9xD+7lvwn28kmL8ELINFBRUnP23D3GIy9ITrumhTnwhp7&#10;xt/M9814cX0wmuxFiMrZlk4nNSXCMseV7Vr66eP6xZySmMBy0M6Klh5FpNfL588Wg2/Eleud5iIQ&#10;BLGxGXxL+5R8U1WR9cJAnDgvLDqlCwYSHkNX8QADohtdXdX1rBpc4D44JmLE29XopCfEcAmgk1Ix&#10;sXJsZ4RNI2oQGhJSir3ykS5LtVIKlt5LGUUiuqXINJUdk6C9zXu1XEDTBfC9YqcS4JISHnAyoCwm&#10;PUOtIAHZBfUIyigWXHQyTZgz1UikKIIspvUDbT704EXhglJHfxY9Ph0se7ffBKI4TgIlFgw2/Pbr&#10;rz9fvt/9/ob77c8fZJpFGnxsMPbGbsLpFP0mZMYHGQyRWvnPGSPfICtyKBIfzxKLQyIML2fTel7P&#10;XlHC0PdyPi0dqEaU/NaHmN4IZ0g2WqqVzQJAA/u3MWFmDP0Xkq+1JcOIgw1lgOMocQzQNB4pRduV&#10;x9FpxddK6/wkhm57owPZA47Eel3jygQR+L+wnGUFsR/jimscll4Af205SUePYln8IzTXYASnRAv8&#10;UtlCQGgSKH1JJKbWNj8QZWBPRLPio8bZ2jp+xEbtfFBdj8KUplTZg4NRqj8NcZ68+2e073/c5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qi2x1wAAAAcBAAAPAAAAAAAAAAEAIAAAACIAAABkcnMv&#10;ZG93bnJldi54bWxQSwECFAAUAAAACACHTuJA5dzqpgQCAAAABAAADgAAAAAAAAABACAAAAAmAQAA&#10;ZHJzL2Uyb0RvYy54bWxQSwUGAAAAAAYABgBZAQAAn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4B13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《福州软件职业技术学院产业学院合作企业校内实践基地建设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管理办法》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的通知</w:t>
      </w:r>
    </w:p>
    <w:p w14:paraId="0FF8D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5D8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各学院（部），各部（处、室、中心、馆）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：</w:t>
      </w:r>
    </w:p>
    <w:p w14:paraId="008BE55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现将《福州软件职业技术学院产业学院合作企业校内实践基地建设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管理办法》印发给你们，请遵照执行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。</w:t>
      </w:r>
    </w:p>
    <w:p w14:paraId="501E78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27A43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59F65B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福州软件职业技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术学院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教务处  </w:t>
      </w:r>
    </w:p>
    <w:p w14:paraId="3D164DE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</w:p>
    <w:tbl>
      <w:tblPr>
        <w:tblStyle w:val="6"/>
        <w:tblpPr w:leftFromText="180" w:rightFromText="180" w:vertAnchor="page" w:horzAnchor="page" w:tblpX="1439" w:tblpY="14572"/>
        <w:tblOverlap w:val="never"/>
        <w:tblW w:w="90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 w14:paraId="618C43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814" w:type="dxa"/>
            <w:tcBorders>
              <w:tl2br w:val="nil"/>
              <w:tr2bl w:val="nil"/>
            </w:tcBorders>
            <w:noWrap w:val="0"/>
            <w:vAlign w:val="bottom"/>
          </w:tcPr>
          <w:p w14:paraId="412146FB">
            <w:pPr>
              <w:keepNext w:val="0"/>
              <w:keepLines w:val="0"/>
              <w:suppressLineNumbers w:val="0"/>
              <w:spacing w:before="0" w:beforeAutospacing="0" w:after="100" w:afterAutospacing="0" w:line="590" w:lineRule="exact"/>
              <w:ind w:left="0" w:right="136" w:rightChars="65" w:firstLine="280" w:firstLineChars="100"/>
              <w:rPr>
                <w:rFonts w:hint="eastAsia" w:ascii="仿宋_GB2312" w:hAnsi="仿宋" w:eastAsia="仿宋_GB2312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val="en-US" w:eastAsia="zh-CN"/>
              </w:rPr>
              <w:t>福州软件职业技术学院教务处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noWrap w:val="0"/>
            <w:vAlign w:val="center"/>
          </w:tcPr>
          <w:p w14:paraId="2AB21AC6">
            <w:pPr>
              <w:keepNext w:val="0"/>
              <w:keepLines w:val="0"/>
              <w:suppressLineNumbers w:val="0"/>
              <w:spacing w:before="0" w:beforeAutospacing="0" w:after="100" w:afterAutospacing="1" w:line="590" w:lineRule="exact"/>
              <w:ind w:left="0" w:right="136" w:rightChars="65" w:firstLine="840" w:firstLineChars="300"/>
              <w:jc w:val="center"/>
              <w:textAlignment w:val="bottom"/>
              <w:rPr>
                <w:rFonts w:hint="eastAsia" w:ascii="仿宋_GB2312" w:eastAsia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年</w:t>
            </w: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月</w:t>
            </w: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日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highlight w:val="none"/>
              </w:rPr>
              <w:t>印</w:t>
            </w:r>
          </w:p>
        </w:tc>
      </w:tr>
    </w:tbl>
    <w:p w14:paraId="6960B8F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284D96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3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福州软件职业技术学院产业学院合作企业</w:t>
      </w:r>
    </w:p>
    <w:p w14:paraId="19FEF3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3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校内实践基地建设与管理办法</w:t>
      </w:r>
    </w:p>
    <w:p w14:paraId="657897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279" w:leftChars="133" w:right="0" w:firstLine="644" w:firstLineChars="23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67AD7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基地是进行实训教学、科研和社会服务的重要场所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是弘扬社会主义核心价值观，对受教育者进行思想政治教育和职业道德教育，培育劳模精神、劳动精神、工匠精神，传授科学文化与专业知识，培养技术技能，进行职业指导，全面提升高素质技术技能型人才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基本保障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为进一步加强和规范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产业学院合作企业实践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基地的建设和管理，建设兼具生产、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认证、竞赛、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研发、创新创业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和社会服务等多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于一体的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产学研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协同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创新实践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基地，特制定本办法。</w:t>
      </w:r>
    </w:p>
    <w:p w14:paraId="3E997E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基地建设的原则</w:t>
      </w:r>
    </w:p>
    <w:p w14:paraId="21CEB2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基地建设遵循以符合人才培养需求为前提，以与专业相匹配、能够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教学任务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基础，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以融入岗位任职要求和企业文化为特色，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以培养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创新型工匠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为目标的原则。</w:t>
      </w:r>
    </w:p>
    <w:p w14:paraId="425BE2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基地建设要坚持“产、学、研、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”一体化相结合，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融入行业企业新技术、新标准、新工艺、新规范，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兼具生产、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认证、竞赛、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研发、创新创业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和社会服务等多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于一体的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产学研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协同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创新实践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推进校地协同育人机制的建设，突出学生实践能力的培养。</w:t>
      </w:r>
    </w:p>
    <w:p w14:paraId="15BBE1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实习实训基地建设要坚持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教学与就业联动的协同机制，要坚持基地与学生就业基地共建、共享、共管、优势互补的原则。</w:t>
      </w:r>
    </w:p>
    <w:p w14:paraId="00E8A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基地建设的基本程序</w:t>
      </w:r>
    </w:p>
    <w:p w14:paraId="563A86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产业学院合作企业深入分析合作共建专业实践教学需要，结合教育部职业教育专业介绍和专业教学标准，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根据专业培养目标，制订相应的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基地建设规划，规划要体现基地建设现状、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岗位分析（匹配度）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建设目标、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建设内容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、容纳学生人数、实习实训内容、师资的配备等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连同人才培养方案和审批表提交教务处，详见附件一。</w:t>
      </w:r>
    </w:p>
    <w:p w14:paraId="32470F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教务处组织行业专家、信息中心对实践基地进行论证，重点从专业匹配、岗位匹配、岗课赛证、市场价值、数量需求、实践文化、新技术、智能化和前瞻性等方面进行论证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，经学校审批同意后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方可建设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30B586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产业学院合作企业通过正式招投标办法开展建设，邀请学校招标采购委员会全程参与。</w:t>
      </w:r>
    </w:p>
    <w:p w14:paraId="53BEA3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与评估</w:t>
      </w:r>
    </w:p>
    <w:p w14:paraId="183335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建设完成后，产业学院合作企业整理好招投标材料、设备详细清单、发票(完税证明）到教务处，申请验收。</w:t>
      </w:r>
    </w:p>
    <w:p w14:paraId="60151A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教务处组织信息中心、资产处、财务处、教学单位现场进行验收，验收合格后，出具验收合格报告。</w:t>
      </w:r>
    </w:p>
    <w:p w14:paraId="6BB4D2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资产处负责对资产进行入库登记和贴标，财务处负责档案留存和资产统计，信息中心负责定期设备检查评估工作。</w:t>
      </w:r>
    </w:p>
    <w:p w14:paraId="7C5592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基地管理与职责</w:t>
      </w:r>
    </w:p>
    <w:p w14:paraId="1930E0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教务处为学校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基地的主管单位，负责全校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基地的建设、教学的管理与协调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及时在教务系统中登记，产业学院实践基地优先满足合作办学专业实训需要，空闲时段可用于校内其他专业教学实践。</w:t>
      </w:r>
    </w:p>
    <w:p w14:paraId="109E62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信息中心负责对实践基地提供技术支持，并按照学校统一要求进行规范管理。</w:t>
      </w:r>
    </w:p>
    <w:p w14:paraId="20EE72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教学质量管理与科研处按照产业学院验收要求，根据合作协议和招生人数测算，每学年开展两次验收，并作为合作分成款结算依据。</w:t>
      </w:r>
    </w:p>
    <w:p w14:paraId="6BC0E7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产业学院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基地建设与管理的主体单位，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合作企业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要有专人负责基地建设、管理和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教学工作，依据人才培养方案和专业教学要求，确保实习内容与职业标准紧密对接。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要完善实训文化、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管理制度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开发实训项目，制定《实训指导书》，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并落实相关工作。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在协议期限内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仪器设备由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保管。</w:t>
      </w:r>
    </w:p>
    <w:p w14:paraId="37DEDB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基地建设单位要采取切实有效的措施，努力提高基地所在单位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指导教师的指导水平。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校企采取“校企双师、双向赋能”模式，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组织本单位专业技术人员、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企业技术骨干、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基地师资队伍，保障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过程与生产过程紧密对接，并对学生的实习实训进行全面考核与评定。</w:t>
      </w:r>
    </w:p>
    <w:p w14:paraId="2A386D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实践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基地建设经费保障</w:t>
      </w:r>
    </w:p>
    <w:p w14:paraId="732A7D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产业学院合作企业根据合作协议要求设立基地建设专项经费，且每生投入的教学科研仪器设备值不低于3000元（合作协议另有约定除外），根据需要采取整体建设与分步投入相结合方式建设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学校设立实践基地建设的专项经费，积极争取各级财政奖补，政行企校共建共享。</w:t>
      </w:r>
    </w:p>
    <w:p w14:paraId="7E7903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合作企业承诺投入设备价值符合市场行情，符合国家标准、行业标准、安全要求，且设备为全新，原厂原包装产品。保证设备不存在任何担保特权或其他限制使用的权利（如抵押权、质押权、留置权等），没有违反其可能适用的相关法律法规规定，也不会侵犯任何第三人的知识产权及商业秘密等权利。</w:t>
      </w:r>
    </w:p>
    <w:p w14:paraId="7733C9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则</w:t>
      </w:r>
    </w:p>
    <w:p w14:paraId="35151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本办法自公布之日起实施，解释权归教务处。</w:t>
      </w:r>
    </w:p>
    <w:p w14:paraId="14D555E3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page"/>
      </w:r>
    </w:p>
    <w:p w14:paraId="3460D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附件一：</w:t>
      </w:r>
    </w:p>
    <w:p w14:paraId="1DE71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福州软件职业技术学院</w:t>
      </w:r>
    </w:p>
    <w:p w14:paraId="7C61B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产业学院合作企业校内</w:t>
      </w:r>
      <w:r>
        <w:rPr>
          <w:rFonts w:hint="eastAsia" w:ascii="黑体" w:hAnsi="黑体" w:eastAsia="黑体" w:cs="黑体"/>
          <w:sz w:val="32"/>
          <w:szCs w:val="32"/>
        </w:rPr>
        <w:t>实践基地建设审批表</w:t>
      </w:r>
    </w:p>
    <w:p w14:paraId="74CAB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tbl>
      <w:tblPr>
        <w:tblStyle w:val="6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80"/>
        <w:gridCol w:w="1530"/>
        <w:gridCol w:w="2552"/>
      </w:tblGrid>
      <w:tr w14:paraId="46E7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noWrap w:val="0"/>
            <w:vAlign w:val="center"/>
          </w:tcPr>
          <w:p w14:paraId="4DE7BE62">
            <w:pPr>
              <w:snapToGrid w:val="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所在单位</w:t>
            </w:r>
          </w:p>
        </w:tc>
        <w:tc>
          <w:tcPr>
            <w:tcW w:w="2580" w:type="dxa"/>
            <w:noWrap w:val="0"/>
            <w:vAlign w:val="center"/>
          </w:tcPr>
          <w:p w14:paraId="539BCCCD">
            <w:pPr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3FF004D">
            <w:pPr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基地名称</w:t>
            </w:r>
          </w:p>
        </w:tc>
        <w:tc>
          <w:tcPr>
            <w:tcW w:w="2552" w:type="dxa"/>
            <w:noWrap w:val="0"/>
            <w:vAlign w:val="center"/>
          </w:tcPr>
          <w:p w14:paraId="33F55C11">
            <w:pPr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264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60" w:type="dxa"/>
            <w:noWrap w:val="0"/>
            <w:vAlign w:val="center"/>
          </w:tcPr>
          <w:p w14:paraId="6D42F9AB">
            <w:pPr>
              <w:snapToGrid w:val="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基地相关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857D311">
            <w:pPr>
              <w:snapToGrid w:val="0"/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9A0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</w:trPr>
        <w:tc>
          <w:tcPr>
            <w:tcW w:w="1560" w:type="dxa"/>
            <w:noWrap w:val="0"/>
            <w:vAlign w:val="center"/>
          </w:tcPr>
          <w:p w14:paraId="3EEC5AC2">
            <w:pPr>
              <w:snapToGrid w:val="0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匹配性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C9FEE1E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（重点从专业匹配、岗位匹配、技能竞赛、技能认证、市场价值、数量需求、实践文化、新技术、智能化和前瞻性等方面进行论证）</w:t>
            </w:r>
          </w:p>
          <w:p w14:paraId="24EB0D22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0430710F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2E56F3D1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4B2D6D4E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202D3BD5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1224FA03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38CD70ED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58C95FA6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3009387E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08E85F6A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4636B5E1">
            <w:pPr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4AE67B74">
            <w:pPr>
              <w:snapToGrid w:val="0"/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478E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381B483F"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论证建议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意见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79E4191C">
            <w:pPr>
              <w:snapToGrid w:val="0"/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8D247DE">
            <w:pPr>
              <w:snapToGrid w:val="0"/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3C82F9F">
            <w:pPr>
              <w:snapToGrid w:val="0"/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730F1D8">
            <w:pPr>
              <w:snapToGrid w:val="0"/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4144D06">
            <w:pPr>
              <w:snapToGrid w:val="0"/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38A0B0F">
            <w:pPr>
              <w:snapToGrid w:val="0"/>
              <w:spacing w:line="360" w:lineRule="auto"/>
              <w:ind w:firstLine="3960" w:firstLineChars="165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签    字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  <w:p w14:paraId="56D56E8A">
            <w:pPr>
              <w:snapToGrid w:val="0"/>
              <w:spacing w:line="360" w:lineRule="auto"/>
              <w:ind w:firstLine="3960" w:firstLineChars="165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日    期：</w:t>
            </w:r>
          </w:p>
        </w:tc>
      </w:tr>
    </w:tbl>
    <w:p w14:paraId="613A2B8A">
      <w:pP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BE9356-9301-48DB-8E2D-386E52D9FC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5927D9-E5DD-4FF0-A74F-52DE011FBE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E726FA-9235-40BF-8D9A-ACF1710BB5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3E7815-90BA-4AC3-ADC6-D82D72723D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EA84C54-960B-437E-A138-9B4D3BBD93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AF52FCAC-3455-434D-8505-806016F140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2AEC7A16"/>
    <w:rsid w:val="06A05249"/>
    <w:rsid w:val="121F1CA1"/>
    <w:rsid w:val="1222508C"/>
    <w:rsid w:val="18A72CC1"/>
    <w:rsid w:val="29A806F8"/>
    <w:rsid w:val="2AEC7A16"/>
    <w:rsid w:val="2E724C0D"/>
    <w:rsid w:val="32852EF5"/>
    <w:rsid w:val="3567208A"/>
    <w:rsid w:val="3D80495C"/>
    <w:rsid w:val="3FA806EF"/>
    <w:rsid w:val="40C433C9"/>
    <w:rsid w:val="4BE97AE2"/>
    <w:rsid w:val="54A62571"/>
    <w:rsid w:val="55F81F79"/>
    <w:rsid w:val="5DB627D2"/>
    <w:rsid w:val="608A1A1F"/>
    <w:rsid w:val="645B3DFE"/>
    <w:rsid w:val="6A2B541E"/>
    <w:rsid w:val="6AC14B2D"/>
    <w:rsid w:val="6C9B4B5D"/>
    <w:rsid w:val="6E366145"/>
    <w:rsid w:val="77B72606"/>
    <w:rsid w:val="78A51694"/>
    <w:rsid w:val="7C78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rFonts w:hAnsi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4"/>
    <w:autoRedefine/>
    <w:semiHidden/>
    <w:unhideWhenUsed/>
    <w:qFormat/>
    <w:uiPriority w:val="99"/>
    <w:pPr>
      <w:ind w:firstLine="420" w:firstLineChars="100"/>
    </w:pPr>
    <w:rPr>
      <w:rFonts w:hAnsi="宋体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1923</Words>
  <Characters>1938</Characters>
  <Lines>0</Lines>
  <Paragraphs>0</Paragraphs>
  <TotalTime>0</TotalTime>
  <ScaleCrop>false</ScaleCrop>
  <LinksUpToDate>false</LinksUpToDate>
  <CharactersWithSpaces>1993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2024-05-20T11:31:00Z</dcterms:created>
  <dc:creator>yeceng</dc:creator>
  <cp:lastModifiedBy>HELIOS</cp:lastModifiedBy>
  <dcterms:modified xsi:type="dcterms:W3CDTF">2024-11-12T01:45:16Z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51E25D5FCA1043E09989FB127246BB72_11</vt:lpwstr>
  </property>
</Properties>
</file>