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六十一</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11</w:t>
      </w:r>
      <w:r>
        <w:rPr>
          <w:rFonts w:hint="eastAsia" w:ascii="宋体" w:hAnsi="宋体" w:eastAsia="宋体"/>
          <w:color w:val="000000"/>
          <w:sz w:val="30"/>
          <w:szCs w:val="30"/>
        </w:rPr>
        <w:t>月</w:t>
      </w:r>
      <w:r>
        <w:rPr>
          <w:rFonts w:hint="eastAsia" w:ascii="宋体" w:hAnsi="宋体"/>
          <w:color w:val="000000"/>
          <w:sz w:val="30"/>
          <w:szCs w:val="30"/>
          <w:lang w:val="en-US" w:eastAsia="zh-CN"/>
        </w:rPr>
        <w:t>8</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8AA95E8">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我校数字金融产业学院教工党支部成功入选全省高校“双带头人”教师党支部书记“强国行”专项行动团队</w:t>
            </w:r>
          </w:p>
          <w:p w14:paraId="202665D1">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喜讯丨我校执行校长俞发仁参与主编教材荣获2024年度全国高校人工智能+数字经济优秀教材奖一等奖！</w:t>
            </w:r>
          </w:p>
          <w:p w14:paraId="58F601E0">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我校学生在 “莆田鞋・行天下” 全国短视频大赛中荣获二等奖</w:t>
            </w:r>
          </w:p>
          <w:p w14:paraId="42CDCB82">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我校电竞战队勇夺2024工银福星杯首届福州无畏契约高校电竞赛冠军</w:t>
            </w:r>
          </w:p>
          <w:p w14:paraId="26D7DFF3">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喜讯：我校学生在福建省大学生 创新大赛（2024）竞赛中获奖</w:t>
            </w:r>
          </w:p>
          <w:p w14:paraId="44E35093">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喜讯丨我校游戏产业学院教师非遗软木画作品被福建省文联省海峡民间艺术馆收藏</w:t>
            </w:r>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我校顺利召开二轮评估专家现场考察工作动员大会</w:t>
            </w:r>
            <w:bookmarkStart w:id="0" w:name="_GoBack"/>
            <w:bookmarkEnd w:id="0"/>
          </w:p>
        </w:tc>
      </w:tr>
    </w:tbl>
    <w:p w14:paraId="33E249C0">
      <w:pPr>
        <w:sectPr>
          <w:pgSz w:w="11906" w:h="16838"/>
          <w:pgMar w:top="1440" w:right="1800" w:bottom="1440" w:left="1800" w:header="851" w:footer="992" w:gutter="0"/>
          <w:cols w:space="425" w:num="1"/>
          <w:docGrid w:type="lines" w:linePitch="312" w:charSpace="0"/>
        </w:sectPr>
      </w:pPr>
    </w:p>
    <w:p w14:paraId="1E966571">
      <w:pPr>
        <w:ind w:left="0" w:leftChars="0" w:firstLine="0" w:firstLineChars="0"/>
        <w:jc w:val="center"/>
        <w:rPr>
          <w:rFonts w:hint="eastAsia"/>
          <w:b/>
          <w:bCs/>
        </w:rPr>
      </w:pPr>
      <w:r>
        <w:rPr>
          <w:rFonts w:hint="eastAsia"/>
          <w:b/>
          <w:bCs/>
        </w:rPr>
        <w:t>喜讯 | 我校数字金融产业学院教工党支部成功入选全省高校“双带头人”教师党支部书记“强国行”专项行动团队</w:t>
      </w:r>
    </w:p>
    <w:p w14:paraId="5AAD2441">
      <w:pPr>
        <w:pStyle w:val="2"/>
        <w:rPr>
          <w:rFonts w:hint="eastAsia"/>
          <w:b/>
          <w:bCs/>
        </w:rPr>
      </w:pPr>
    </w:p>
    <w:p w14:paraId="1B05A935">
      <w:pPr>
        <w:pStyle w:val="3"/>
        <w:bidi w:val="0"/>
      </w:pPr>
      <w:r>
        <w:rPr>
          <w:rFonts w:hint="eastAsia"/>
        </w:rPr>
        <w:t>近日，中共福建省委教育工委公布《全省高校“双带头人”教师党支部书记“强国行”专项行动团队名单》，我校数字金融产业学院教工党支部成功入选。</w:t>
      </w:r>
    </w:p>
    <w:p w14:paraId="304DDC93">
      <w:pPr>
        <w:pStyle w:val="3"/>
        <w:bidi w:val="0"/>
        <w:rPr>
          <w:rFonts w:hint="eastAsia"/>
        </w:rPr>
      </w:pPr>
      <w:r>
        <w:rPr>
          <w:rFonts w:hint="eastAsia"/>
        </w:rPr>
        <w:drawing>
          <wp:inline distT="0" distB="0" distL="114300" distR="114300">
            <wp:extent cx="4319905" cy="4619625"/>
            <wp:effectExtent l="0" t="0" r="8255" b="1333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7"/>
                    <a:stretch>
                      <a:fillRect/>
                    </a:stretch>
                  </pic:blipFill>
                  <pic:spPr>
                    <a:xfrm>
                      <a:off x="0" y="0"/>
                      <a:ext cx="4319905" cy="4619625"/>
                    </a:xfrm>
                    <a:prstGeom prst="rect">
                      <a:avLst/>
                    </a:prstGeom>
                    <a:noFill/>
                    <a:ln w="9525">
                      <a:noFill/>
                    </a:ln>
                  </pic:spPr>
                </pic:pic>
              </a:graphicData>
            </a:graphic>
          </wp:inline>
        </w:drawing>
      </w:r>
    </w:p>
    <w:p w14:paraId="4BB1D6C3">
      <w:pPr>
        <w:pStyle w:val="3"/>
        <w:bidi w:val="0"/>
        <w:rPr>
          <w:rFonts w:hint="eastAsia"/>
        </w:rPr>
      </w:pPr>
      <w:r>
        <w:rPr>
          <w:rFonts w:hint="eastAsia"/>
        </w:rPr>
        <w:t>近年来，学校党委深入学习贯彻习近平总书记关于党的建设的重要思想，积极践行新时代党的建设总要求和新时代党的组织路线，高度重视“双带头人”教师党支部书记培育，将其作为提升教师党建和思想政治工作质量的重要抓手和提升育人实效的有效载体，坚持典型引领，发挥“双带头人”教师党支部书记“头雁”作用，带领更多党支部把政治建设摆在首位，有效发挥战斗堡垒作用，建强基层党建阵地，让党旗在一线高高飘扬，持续以高质量党建引领学校事业高质量发展。</w:t>
      </w:r>
    </w:p>
    <w:p w14:paraId="3B571456">
      <w:pPr>
        <w:pStyle w:val="2"/>
        <w:rPr>
          <w:rFonts w:hint="eastAsia"/>
          <w:lang w:eastAsia="zh-CN"/>
        </w:rPr>
      </w:pPr>
    </w:p>
    <w:p w14:paraId="0A55B0A6">
      <w:pPr>
        <w:pStyle w:val="2"/>
        <w:rPr>
          <w:rFonts w:hint="eastAsia"/>
          <w:lang w:eastAsia="zh-CN"/>
        </w:rPr>
      </w:pPr>
    </w:p>
    <w:p w14:paraId="6338FCDC">
      <w:pPr>
        <w:pStyle w:val="3"/>
        <w:bidi w:val="0"/>
        <w:ind w:left="0" w:leftChars="0" w:firstLine="0" w:firstLineChars="0"/>
        <w:jc w:val="center"/>
        <w:rPr>
          <w:rFonts w:hint="eastAsia"/>
          <w:b/>
          <w:bCs/>
          <w:lang w:eastAsia="zh-CN"/>
        </w:rPr>
      </w:pPr>
      <w:r>
        <w:rPr>
          <w:rFonts w:hint="eastAsia"/>
          <w:b/>
          <w:bCs/>
          <w:lang w:eastAsia="zh-CN"/>
        </w:rPr>
        <w:t>喜讯丨我校执行校长俞发仁参与主编教材荣获2024年度全国高校人工智能+数字经济优秀教材奖一等奖！</w:t>
      </w:r>
    </w:p>
    <w:p w14:paraId="52650C7C">
      <w:pPr>
        <w:pStyle w:val="3"/>
        <w:bidi w:val="0"/>
        <w:rPr>
          <w:rFonts w:hint="eastAsia"/>
          <w:lang w:eastAsia="zh-CN"/>
        </w:rPr>
      </w:pPr>
    </w:p>
    <w:p w14:paraId="642A89A1">
      <w:pPr>
        <w:pStyle w:val="3"/>
        <w:bidi w:val="0"/>
      </w:pPr>
      <w:r>
        <w:t>日前，</w:t>
      </w:r>
      <w:r>
        <w:rPr>
          <w:rFonts w:hint="default"/>
        </w:rPr>
        <w:t>2024第七届全国高校人工智能大数据区块链元宇宙数字经济教育教学创新论坛在京成功举办。论坛上向企业及科研院所等机构颁发了2024年度“区块链60人”、“元宇宙30人”、“数字经济30人”及2024“优秀教材奖”。其中</w:t>
      </w:r>
      <w:r>
        <w:rPr>
          <w:rFonts w:hint="eastAsia"/>
        </w:rPr>
        <w:t>我校执行校长俞发仁参与主编的教材《数字经济概论》荣获2024年度全国高校人工智能+数字经济优秀教材奖一等奖。</w:t>
      </w:r>
    </w:p>
    <w:p w14:paraId="728FD75C">
      <w:pPr>
        <w:pStyle w:val="3"/>
        <w:bidi w:val="0"/>
        <w:rPr>
          <w:rFonts w:hint="eastAsia"/>
        </w:rPr>
      </w:pPr>
      <w:r>
        <w:rPr>
          <w:rFonts w:hint="eastAsia"/>
        </w:rPr>
        <w:drawing>
          <wp:inline distT="0" distB="0" distL="114300" distR="114300">
            <wp:extent cx="4319905" cy="3235960"/>
            <wp:effectExtent l="0" t="0" r="8255" b="1016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8"/>
                    <a:stretch>
                      <a:fillRect/>
                    </a:stretch>
                  </pic:blipFill>
                  <pic:spPr>
                    <a:xfrm>
                      <a:off x="0" y="0"/>
                      <a:ext cx="4319905" cy="3235960"/>
                    </a:xfrm>
                    <a:prstGeom prst="rect">
                      <a:avLst/>
                    </a:prstGeom>
                    <a:noFill/>
                    <a:ln w="9525">
                      <a:noFill/>
                    </a:ln>
                  </pic:spPr>
                </pic:pic>
              </a:graphicData>
            </a:graphic>
          </wp:inline>
        </w:drawing>
      </w:r>
    </w:p>
    <w:p w14:paraId="4061F54B">
      <w:pPr>
        <w:pStyle w:val="3"/>
        <w:bidi w:val="0"/>
        <w:rPr>
          <w:rFonts w:hint="eastAsia"/>
        </w:rPr>
      </w:pPr>
      <w:r>
        <w:rPr>
          <w:rFonts w:hint="eastAsia"/>
        </w:rPr>
        <w:drawing>
          <wp:inline distT="0" distB="0" distL="114300" distR="114300">
            <wp:extent cx="4319905" cy="4707890"/>
            <wp:effectExtent l="0" t="0" r="8255" b="1270"/>
            <wp:docPr id="2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7"/>
                    <pic:cNvPicPr>
                      <a:picLocks noChangeAspect="1"/>
                    </pic:cNvPicPr>
                  </pic:nvPicPr>
                  <pic:blipFill>
                    <a:blip r:embed="rId9"/>
                    <a:stretch>
                      <a:fillRect/>
                    </a:stretch>
                  </pic:blipFill>
                  <pic:spPr>
                    <a:xfrm>
                      <a:off x="0" y="0"/>
                      <a:ext cx="4319905" cy="4707890"/>
                    </a:xfrm>
                    <a:prstGeom prst="rect">
                      <a:avLst/>
                    </a:prstGeom>
                    <a:noFill/>
                    <a:ln w="9525">
                      <a:noFill/>
                    </a:ln>
                  </pic:spPr>
                </pic:pic>
              </a:graphicData>
            </a:graphic>
          </wp:inline>
        </w:drawing>
      </w:r>
    </w:p>
    <w:p w14:paraId="503305B6">
      <w:pPr>
        <w:pStyle w:val="3"/>
        <w:bidi w:val="0"/>
        <w:rPr>
          <w:rFonts w:hint="eastAsia"/>
        </w:rPr>
      </w:pPr>
      <w:r>
        <w:rPr>
          <w:rFonts w:hint="default"/>
        </w:rPr>
        <w:t>全国高校人工智能与大数据创新联盟是普及人工智能大数据区块链知识，推广人工智能大数据区块链技术与应用、创新高校服务的学术团体和服务平台。</w:t>
      </w:r>
    </w:p>
    <w:p w14:paraId="3B686C5F">
      <w:pPr>
        <w:pStyle w:val="3"/>
        <w:bidi w:val="0"/>
      </w:pPr>
      <w:r>
        <w:rPr>
          <w:rFonts w:hint="default"/>
        </w:rPr>
        <w:t>此前，在全国乡村振兴行业产教融合共同体于2024年5月24日第一届理事会第一次会议表决通过共同体最新成员名单中，我校执行校长俞发仁当选副理事长。</w:t>
      </w:r>
    </w:p>
    <w:p w14:paraId="73D3B1F7">
      <w:pPr>
        <w:pStyle w:val="2"/>
        <w:rPr>
          <w:rFonts w:hint="eastAsia"/>
          <w:lang w:eastAsia="zh-CN"/>
        </w:rPr>
      </w:pPr>
    </w:p>
    <w:p w14:paraId="354A8E26">
      <w:pPr>
        <w:pStyle w:val="2"/>
        <w:rPr>
          <w:rFonts w:hint="eastAsia"/>
          <w:lang w:eastAsia="zh-CN"/>
        </w:rPr>
      </w:pPr>
    </w:p>
    <w:p w14:paraId="0CD11935">
      <w:pPr>
        <w:pStyle w:val="3"/>
        <w:bidi w:val="0"/>
        <w:ind w:left="0" w:leftChars="0" w:firstLine="0" w:firstLineChars="0"/>
        <w:rPr>
          <w:rFonts w:hint="eastAsia"/>
          <w:lang w:eastAsia="zh-CN"/>
        </w:rPr>
      </w:pPr>
    </w:p>
    <w:p w14:paraId="2927EBDD">
      <w:pPr>
        <w:pStyle w:val="3"/>
        <w:bidi w:val="0"/>
        <w:ind w:left="0" w:leftChars="0" w:firstLine="0" w:firstLineChars="0"/>
        <w:rPr>
          <w:rFonts w:hint="eastAsia"/>
          <w:lang w:eastAsia="zh-CN"/>
        </w:rPr>
      </w:pPr>
    </w:p>
    <w:p w14:paraId="7E9A712B">
      <w:pPr>
        <w:pStyle w:val="3"/>
        <w:bidi w:val="0"/>
        <w:ind w:left="0" w:leftChars="0" w:firstLine="0" w:firstLineChars="0"/>
        <w:rPr>
          <w:rFonts w:hint="eastAsia"/>
          <w:lang w:eastAsia="zh-CN"/>
        </w:rPr>
      </w:pPr>
    </w:p>
    <w:p w14:paraId="4A84F83C">
      <w:pPr>
        <w:pStyle w:val="3"/>
        <w:bidi w:val="0"/>
        <w:ind w:left="0" w:leftChars="0" w:firstLine="0" w:firstLineChars="0"/>
        <w:jc w:val="center"/>
        <w:rPr>
          <w:rFonts w:hint="eastAsia"/>
          <w:b/>
          <w:bCs/>
          <w:lang w:eastAsia="zh-CN"/>
        </w:rPr>
      </w:pPr>
      <w:r>
        <w:rPr>
          <w:rFonts w:hint="eastAsia"/>
          <w:b/>
          <w:bCs/>
          <w:lang w:eastAsia="zh-CN"/>
        </w:rPr>
        <w:t>喜讯 | 我校学生在 “莆田鞋・行天下” 全国短视频大赛中荣获二等奖</w:t>
      </w:r>
    </w:p>
    <w:p w14:paraId="4C38F4D5">
      <w:pPr>
        <w:pStyle w:val="3"/>
        <w:bidi w:val="0"/>
        <w:rPr>
          <w:rFonts w:hint="eastAsia"/>
          <w:lang w:eastAsia="zh-CN"/>
        </w:rPr>
      </w:pPr>
    </w:p>
    <w:p w14:paraId="58448C83">
      <w:pPr>
        <w:pStyle w:val="3"/>
        <w:bidi w:val="0"/>
      </w:pPr>
      <w:r>
        <w:rPr>
          <w:rFonts w:hint="eastAsia"/>
        </w:rPr>
        <w:t>近日，“莆田鞋・行天下” 全国短视频大赛结果揭晓，我校2022级电子竞技运动与管理专业学生苏雅琼（指导老师：李密）在此次大赛中表现出色，荣获二等奖。</w:t>
      </w:r>
    </w:p>
    <w:p w14:paraId="05F13CB3">
      <w:pPr>
        <w:pStyle w:val="3"/>
        <w:bidi w:val="0"/>
        <w:rPr>
          <w:rFonts w:hint="eastAsia"/>
        </w:rPr>
      </w:pPr>
      <w:r>
        <w:rPr>
          <w:rFonts w:hint="eastAsia"/>
        </w:rPr>
        <w:drawing>
          <wp:inline distT="0" distB="0" distL="114300" distR="114300">
            <wp:extent cx="4319905" cy="2879725"/>
            <wp:effectExtent l="0" t="0" r="8255" b="635"/>
            <wp:docPr id="2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1.jpg"/>
                    <pic:cNvPicPr>
                      <a:picLocks noChangeAspect="1"/>
                    </pic:cNvPicPr>
                  </pic:nvPicPr>
                  <pic:blipFill>
                    <a:blip r:embed="rId10"/>
                    <a:stretch>
                      <a:fillRect/>
                    </a:stretch>
                  </pic:blipFill>
                  <pic:spPr>
                    <a:xfrm>
                      <a:off x="0" y="0"/>
                      <a:ext cx="4319905" cy="2879725"/>
                    </a:xfrm>
                    <a:prstGeom prst="rect">
                      <a:avLst/>
                    </a:prstGeom>
                    <a:noFill/>
                    <a:ln w="9525">
                      <a:noFill/>
                    </a:ln>
                  </pic:spPr>
                </pic:pic>
              </a:graphicData>
            </a:graphic>
          </wp:inline>
        </w:drawing>
      </w:r>
    </w:p>
    <w:p w14:paraId="1A8B4F10">
      <w:pPr>
        <w:pStyle w:val="3"/>
        <w:bidi w:val="0"/>
        <w:rPr>
          <w:rFonts w:hint="eastAsia"/>
        </w:rPr>
      </w:pPr>
      <w:r>
        <w:rPr>
          <w:rFonts w:hint="eastAsia"/>
        </w:rPr>
        <w:drawing>
          <wp:inline distT="0" distB="0" distL="114300" distR="114300">
            <wp:extent cx="4319905" cy="6681470"/>
            <wp:effectExtent l="0" t="0" r="8255" b="8890"/>
            <wp:docPr id="26" name="图片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2.jpg"/>
                    <pic:cNvPicPr>
                      <a:picLocks noChangeAspect="1"/>
                    </pic:cNvPicPr>
                  </pic:nvPicPr>
                  <pic:blipFill>
                    <a:blip r:embed="rId11"/>
                    <a:stretch>
                      <a:fillRect/>
                    </a:stretch>
                  </pic:blipFill>
                  <pic:spPr>
                    <a:xfrm>
                      <a:off x="0" y="0"/>
                      <a:ext cx="4319905" cy="6681470"/>
                    </a:xfrm>
                    <a:prstGeom prst="rect">
                      <a:avLst/>
                    </a:prstGeom>
                    <a:noFill/>
                    <a:ln w="9525">
                      <a:noFill/>
                    </a:ln>
                  </pic:spPr>
                </pic:pic>
              </a:graphicData>
            </a:graphic>
          </wp:inline>
        </w:drawing>
      </w:r>
    </w:p>
    <w:p w14:paraId="753C0E7E">
      <w:pPr>
        <w:pStyle w:val="3"/>
        <w:bidi w:val="0"/>
        <w:rPr>
          <w:rFonts w:hint="eastAsia"/>
        </w:rPr>
      </w:pPr>
      <w:r>
        <w:rPr>
          <w:rFonts w:hint="eastAsia"/>
        </w:rPr>
        <w:t>本次大赛自7月5日启动以来，受到了广泛关注，共有来自全国各地530个参赛作品。10月11日，经业内专家评审，共有 21个作品脱颖而出。我校学生的参赛作品以其独特的创意和深刻的内涵，在众多作品中崭露头角，获得了评委的认可。</w:t>
      </w:r>
    </w:p>
    <w:p w14:paraId="5A1FDF57">
      <w:pPr>
        <w:pStyle w:val="3"/>
        <w:bidi w:val="0"/>
        <w:rPr>
          <w:rFonts w:hint="eastAsia"/>
        </w:rPr>
      </w:pPr>
      <w:r>
        <w:rPr>
          <w:rFonts w:hint="eastAsia"/>
        </w:rPr>
        <w:t>此次大赛由中共莆田市委宣传部、莆田市工业和信息化局、莆田市二轻工业联社、中共莆田市委网信办主办，莆田市广播电视中心承办，旨在提升莆田鞋业在国内外市场的知名度和美誉度，鼓励创作者展示莆田鞋业的历史文化底蕴。我校学生积极参与，充分发挥自身的想象力和创造力，通过短视频作品展现了莆田鞋业的魅力，为学校争得了荣誉。</w:t>
      </w:r>
    </w:p>
    <w:p w14:paraId="6B942068">
      <w:pPr>
        <w:pStyle w:val="3"/>
        <w:bidi w:val="0"/>
        <w:rPr>
          <w:rFonts w:hint="eastAsia"/>
        </w:rPr>
      </w:pPr>
      <w:r>
        <w:rPr>
          <w:rFonts w:hint="eastAsia"/>
        </w:rPr>
        <w:t>在此，向获奖的学生表示热烈的祝贺！</w:t>
      </w:r>
    </w:p>
    <w:p w14:paraId="7FB78D39">
      <w:pPr>
        <w:pStyle w:val="2"/>
        <w:rPr>
          <w:rFonts w:hint="eastAsia"/>
        </w:rPr>
      </w:pPr>
    </w:p>
    <w:p w14:paraId="3648BADF">
      <w:pPr>
        <w:pStyle w:val="2"/>
        <w:rPr>
          <w:rFonts w:hint="eastAsia"/>
        </w:rPr>
      </w:pPr>
    </w:p>
    <w:p w14:paraId="001E3C92">
      <w:pPr>
        <w:pStyle w:val="3"/>
        <w:bidi w:val="0"/>
        <w:ind w:left="0" w:leftChars="0" w:firstLine="0" w:firstLineChars="0"/>
        <w:jc w:val="center"/>
        <w:rPr>
          <w:rFonts w:hint="eastAsia"/>
          <w:b/>
          <w:bCs/>
        </w:rPr>
      </w:pPr>
      <w:r>
        <w:rPr>
          <w:rFonts w:hint="eastAsia"/>
          <w:b/>
          <w:bCs/>
        </w:rPr>
        <w:t>喜讯 | 我校电竞战队勇夺2024工银福星杯首届福州无畏契约高校电竞赛冠军</w:t>
      </w:r>
    </w:p>
    <w:p w14:paraId="16A06641">
      <w:pPr>
        <w:pStyle w:val="3"/>
        <w:bidi w:val="0"/>
        <w:rPr>
          <w:rFonts w:hint="eastAsia"/>
        </w:rPr>
      </w:pPr>
    </w:p>
    <w:p w14:paraId="00A75CDA">
      <w:pPr>
        <w:pStyle w:val="3"/>
        <w:bidi w:val="0"/>
      </w:pPr>
      <w:r>
        <w:rPr>
          <w:rFonts w:hint="eastAsia"/>
        </w:rPr>
        <w:t>10月26日，2024工银福星杯首届福州无畏契约高校电竞赛圆满落幕。经过激烈角逐，我校电竞战队脱颖而出，成功夺得桂冠！</w:t>
      </w:r>
    </w:p>
    <w:p w14:paraId="43CE37E8">
      <w:pPr>
        <w:pStyle w:val="3"/>
        <w:bidi w:val="0"/>
        <w:rPr>
          <w:rFonts w:hint="eastAsia"/>
        </w:rPr>
      </w:pPr>
      <w:r>
        <w:rPr>
          <w:rFonts w:hint="eastAsia"/>
        </w:rPr>
        <w:drawing>
          <wp:inline distT="0" distB="0" distL="114300" distR="114300">
            <wp:extent cx="4319905" cy="3238500"/>
            <wp:effectExtent l="0" t="0" r="8255" b="7620"/>
            <wp:docPr id="31"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1.jpg"/>
                    <pic:cNvPicPr>
                      <a:picLocks noChangeAspect="1"/>
                    </pic:cNvPicPr>
                  </pic:nvPicPr>
                  <pic:blipFill>
                    <a:blip r:embed="rId12"/>
                    <a:stretch>
                      <a:fillRect/>
                    </a:stretch>
                  </pic:blipFill>
                  <pic:spPr>
                    <a:xfrm>
                      <a:off x="0" y="0"/>
                      <a:ext cx="4319905" cy="3238500"/>
                    </a:xfrm>
                    <a:prstGeom prst="rect">
                      <a:avLst/>
                    </a:prstGeom>
                    <a:noFill/>
                    <a:ln w="9525">
                      <a:noFill/>
                    </a:ln>
                  </pic:spPr>
                </pic:pic>
              </a:graphicData>
            </a:graphic>
          </wp:inline>
        </w:drawing>
      </w:r>
    </w:p>
    <w:p w14:paraId="3F685955">
      <w:pPr>
        <w:pStyle w:val="3"/>
        <w:bidi w:val="0"/>
        <w:rPr>
          <w:rFonts w:hint="eastAsia"/>
        </w:rPr>
      </w:pPr>
      <w:r>
        <w:rPr>
          <w:rFonts w:hint="eastAsia"/>
        </w:rPr>
        <w:t>本次赛事作为首届无畏契约福州高校电竞赛，吸引了众多高校电竞爱好者的关注。我校电竞战队与厦门大学嘉庚学院的TKKV战队、闽江学院的闽江BURNING战队以及福建师范大学协和学院的WEP战队，从上百所高校中脱颖而出，进入四强。在总决赛中，四支战队全力以赴，展开了一场精彩绝伦的对决。</w:t>
      </w:r>
    </w:p>
    <w:p w14:paraId="5A06AEEA">
      <w:pPr>
        <w:pStyle w:val="3"/>
        <w:bidi w:val="0"/>
        <w:rPr>
          <w:rFonts w:hint="eastAsia"/>
        </w:rPr>
      </w:pPr>
      <w:r>
        <w:rPr>
          <w:rFonts w:hint="eastAsia"/>
        </w:rPr>
        <w:drawing>
          <wp:inline distT="0" distB="0" distL="114300" distR="114300">
            <wp:extent cx="4319905" cy="3244215"/>
            <wp:effectExtent l="0" t="0" r="8255" b="1905"/>
            <wp:docPr id="29" name="图片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2.jpg"/>
                    <pic:cNvPicPr>
                      <a:picLocks noChangeAspect="1"/>
                    </pic:cNvPicPr>
                  </pic:nvPicPr>
                  <pic:blipFill>
                    <a:blip r:embed="rId13"/>
                    <a:stretch>
                      <a:fillRect/>
                    </a:stretch>
                  </pic:blipFill>
                  <pic:spPr>
                    <a:xfrm>
                      <a:off x="0" y="0"/>
                      <a:ext cx="4319905" cy="3244215"/>
                    </a:xfrm>
                    <a:prstGeom prst="rect">
                      <a:avLst/>
                    </a:prstGeom>
                    <a:noFill/>
                    <a:ln w="9525">
                      <a:noFill/>
                    </a:ln>
                  </pic:spPr>
                </pic:pic>
              </a:graphicData>
            </a:graphic>
          </wp:inline>
        </w:drawing>
      </w:r>
    </w:p>
    <w:p w14:paraId="6E93C0A5">
      <w:pPr>
        <w:pStyle w:val="3"/>
        <w:bidi w:val="0"/>
        <w:rPr>
          <w:rFonts w:hint="eastAsia"/>
        </w:rPr>
      </w:pPr>
      <w:r>
        <w:rPr>
          <w:rFonts w:hint="eastAsia"/>
        </w:rPr>
        <w:t>最终，我校电竞战队凭借其出色的团队协作和精湛的技术，夺得冠军。赛后，我校电竞战队接受了福州市电视台的采访。队员们纷纷表示，此次夺冠离不开队友的默契配合和指导老师的辛勤训练，今后将保持电竞竞赛精神，不断超越自我，书写荣耀新篇章。</w:t>
      </w:r>
    </w:p>
    <w:p w14:paraId="593A094F">
      <w:pPr>
        <w:pStyle w:val="3"/>
        <w:bidi w:val="0"/>
        <w:rPr>
          <w:rFonts w:hint="eastAsia"/>
        </w:rPr>
      </w:pPr>
      <w:r>
        <w:rPr>
          <w:rFonts w:hint="eastAsia"/>
        </w:rPr>
        <w:drawing>
          <wp:inline distT="0" distB="0" distL="114300" distR="114300">
            <wp:extent cx="4319905" cy="3235960"/>
            <wp:effectExtent l="0" t="0" r="8255" b="10160"/>
            <wp:docPr id="27" name="图片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3.jpg"/>
                    <pic:cNvPicPr>
                      <a:picLocks noChangeAspect="1"/>
                    </pic:cNvPicPr>
                  </pic:nvPicPr>
                  <pic:blipFill>
                    <a:blip r:embed="rId14"/>
                    <a:stretch>
                      <a:fillRect/>
                    </a:stretch>
                  </pic:blipFill>
                  <pic:spPr>
                    <a:xfrm>
                      <a:off x="0" y="0"/>
                      <a:ext cx="4319905" cy="3235960"/>
                    </a:xfrm>
                    <a:prstGeom prst="rect">
                      <a:avLst/>
                    </a:prstGeom>
                    <a:noFill/>
                    <a:ln w="9525">
                      <a:noFill/>
                    </a:ln>
                  </pic:spPr>
                </pic:pic>
              </a:graphicData>
            </a:graphic>
          </wp:inline>
        </w:drawing>
      </w:r>
    </w:p>
    <w:p w14:paraId="31088BEB">
      <w:pPr>
        <w:pStyle w:val="3"/>
        <w:bidi w:val="0"/>
        <w:rPr>
          <w:rFonts w:hint="eastAsia"/>
        </w:rPr>
      </w:pPr>
      <w:r>
        <w:rPr>
          <w:rFonts w:hint="eastAsia"/>
        </w:rPr>
        <w:drawing>
          <wp:inline distT="0" distB="0" distL="114300" distR="114300">
            <wp:extent cx="4319905" cy="3239770"/>
            <wp:effectExtent l="0" t="0" r="8255" b="6350"/>
            <wp:docPr id="32" name="图片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4.jpg"/>
                    <pic:cNvPicPr>
                      <a:picLocks noChangeAspect="1"/>
                    </pic:cNvPicPr>
                  </pic:nvPicPr>
                  <pic:blipFill>
                    <a:blip r:embed="rId15"/>
                    <a:stretch>
                      <a:fillRect/>
                    </a:stretch>
                  </pic:blipFill>
                  <pic:spPr>
                    <a:xfrm>
                      <a:off x="0" y="0"/>
                      <a:ext cx="4319905" cy="3239770"/>
                    </a:xfrm>
                    <a:prstGeom prst="rect">
                      <a:avLst/>
                    </a:prstGeom>
                    <a:noFill/>
                    <a:ln w="9525">
                      <a:noFill/>
                    </a:ln>
                  </pic:spPr>
                </pic:pic>
              </a:graphicData>
            </a:graphic>
          </wp:inline>
        </w:drawing>
      </w:r>
    </w:p>
    <w:p w14:paraId="1D5E19AA">
      <w:pPr>
        <w:pStyle w:val="3"/>
        <w:bidi w:val="0"/>
        <w:rPr>
          <w:rFonts w:hint="eastAsia"/>
        </w:rPr>
      </w:pPr>
      <w:r>
        <w:rPr>
          <w:rFonts w:hint="eastAsia"/>
        </w:rPr>
        <w:t>在赛事期间，NOVA福建高校粉丝联盟也正式宣布成立。首批成员涵盖了福建农林大学等多所知名高校，为福州电竞文化的推广和发展注入了新的活力。</w:t>
      </w:r>
    </w:p>
    <w:p w14:paraId="365EB664">
      <w:pPr>
        <w:pStyle w:val="3"/>
        <w:bidi w:val="0"/>
        <w:rPr>
          <w:rFonts w:hint="eastAsia"/>
        </w:rPr>
      </w:pPr>
      <w:r>
        <w:rPr>
          <w:rFonts w:hint="eastAsia"/>
        </w:rPr>
        <w:drawing>
          <wp:inline distT="0" distB="0" distL="114300" distR="114300">
            <wp:extent cx="4319905" cy="3238500"/>
            <wp:effectExtent l="0" t="0" r="8255" b="7620"/>
            <wp:docPr id="28" name="图片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5.jpg"/>
                    <pic:cNvPicPr>
                      <a:picLocks noChangeAspect="1"/>
                    </pic:cNvPicPr>
                  </pic:nvPicPr>
                  <pic:blipFill>
                    <a:blip r:embed="rId16"/>
                    <a:stretch>
                      <a:fillRect/>
                    </a:stretch>
                  </pic:blipFill>
                  <pic:spPr>
                    <a:xfrm>
                      <a:off x="0" y="0"/>
                      <a:ext cx="4319905" cy="3238500"/>
                    </a:xfrm>
                    <a:prstGeom prst="rect">
                      <a:avLst/>
                    </a:prstGeom>
                    <a:noFill/>
                    <a:ln w="9525">
                      <a:noFill/>
                    </a:ln>
                  </pic:spPr>
                </pic:pic>
              </a:graphicData>
            </a:graphic>
          </wp:inline>
        </w:drawing>
      </w:r>
    </w:p>
    <w:p w14:paraId="4DF2092B">
      <w:pPr>
        <w:pStyle w:val="3"/>
        <w:bidi w:val="0"/>
        <w:rPr>
          <w:rFonts w:hint="eastAsia"/>
        </w:rPr>
      </w:pPr>
      <w:r>
        <w:rPr>
          <w:rFonts w:hint="eastAsia"/>
        </w:rPr>
        <w:t>赛后，我校电竞战队还受邀参观了NOVA俱乐部。职业选手们分享了他们在电竞道路上的奋斗历程、比赛经验和心态调整等方面的宝贵经验，让我校学子受益匪浅。</w:t>
      </w:r>
    </w:p>
    <w:p w14:paraId="7BE42A8D">
      <w:pPr>
        <w:pStyle w:val="3"/>
        <w:bidi w:val="0"/>
        <w:rPr>
          <w:rFonts w:hint="eastAsia"/>
        </w:rPr>
      </w:pPr>
      <w:r>
        <w:rPr>
          <w:rFonts w:hint="eastAsia"/>
        </w:rPr>
        <w:t>此次获奖，是我校坚持以赛带训，以赛促创的教学模式的成功实践。我校将以此次赛事获奖为契机，强化电竞专业内涵建设，积极推进电竞教育的改革与创新，为福州打造“电竞文旅之都”贡献力量。</w:t>
      </w:r>
    </w:p>
    <w:p w14:paraId="57BAA008">
      <w:pPr>
        <w:pStyle w:val="3"/>
        <w:bidi w:val="0"/>
        <w:rPr>
          <w:rFonts w:hint="eastAsia"/>
        </w:rPr>
      </w:pPr>
    </w:p>
    <w:p w14:paraId="77D85F59">
      <w:pPr>
        <w:pStyle w:val="3"/>
        <w:bidi w:val="0"/>
        <w:rPr>
          <w:rFonts w:hint="eastAsia"/>
        </w:rPr>
      </w:pPr>
      <w:r>
        <w:rPr>
          <w:rFonts w:hint="eastAsia"/>
          <w:lang w:val="en-US" w:eastAsia="zh-CN"/>
        </w:rPr>
        <w:drawing>
          <wp:inline distT="0" distB="0" distL="114300" distR="114300">
            <wp:extent cx="4319905" cy="2876550"/>
            <wp:effectExtent l="0" t="0" r="8255" b="3810"/>
            <wp:docPr id="30" name="图片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6.jpg"/>
                    <pic:cNvPicPr>
                      <a:picLocks noChangeAspect="1"/>
                    </pic:cNvPicPr>
                  </pic:nvPicPr>
                  <pic:blipFill>
                    <a:blip r:embed="rId17"/>
                    <a:stretch>
                      <a:fillRect/>
                    </a:stretch>
                  </pic:blipFill>
                  <pic:spPr>
                    <a:xfrm>
                      <a:off x="0" y="0"/>
                      <a:ext cx="4319905" cy="2876550"/>
                    </a:xfrm>
                    <a:prstGeom prst="rect">
                      <a:avLst/>
                    </a:prstGeom>
                    <a:noFill/>
                    <a:ln w="9525">
                      <a:noFill/>
                    </a:ln>
                  </pic:spPr>
                </pic:pic>
              </a:graphicData>
            </a:graphic>
          </wp:inline>
        </w:drawing>
      </w:r>
    </w:p>
    <w:p w14:paraId="771C86A9">
      <w:pPr>
        <w:pStyle w:val="2"/>
        <w:rPr>
          <w:rFonts w:hint="eastAsia"/>
        </w:rPr>
      </w:pPr>
    </w:p>
    <w:p w14:paraId="11AE3F3D">
      <w:pPr>
        <w:pStyle w:val="3"/>
        <w:bidi w:val="0"/>
        <w:rPr>
          <w:rFonts w:hint="eastAsia"/>
          <w:lang w:eastAsia="zh-CN"/>
        </w:rPr>
      </w:pPr>
    </w:p>
    <w:p w14:paraId="479C3489">
      <w:pPr>
        <w:rPr>
          <w:rFonts w:hint="eastAsia"/>
          <w:lang w:eastAsia="zh-CN"/>
        </w:rPr>
      </w:pPr>
    </w:p>
    <w:p w14:paraId="5D9D2A32">
      <w:pPr>
        <w:pStyle w:val="3"/>
        <w:bidi w:val="0"/>
        <w:ind w:left="0" w:leftChars="0" w:firstLine="0" w:firstLineChars="0"/>
        <w:jc w:val="center"/>
        <w:rPr>
          <w:rFonts w:hint="eastAsia"/>
          <w:b/>
          <w:bCs/>
          <w:lang w:eastAsia="zh-CN"/>
        </w:rPr>
      </w:pPr>
      <w:r>
        <w:rPr>
          <w:rFonts w:hint="eastAsia"/>
          <w:b/>
          <w:bCs/>
          <w:lang w:eastAsia="zh-CN"/>
        </w:rPr>
        <w:t>喜讯：我校学生在福建省大学生 创新大赛（2024）竞赛中获奖</w:t>
      </w:r>
    </w:p>
    <w:p w14:paraId="43396464">
      <w:pPr>
        <w:pStyle w:val="3"/>
        <w:bidi w:val="0"/>
        <w:rPr>
          <w:rFonts w:hint="eastAsia"/>
          <w:lang w:eastAsia="zh-CN"/>
        </w:rPr>
      </w:pPr>
    </w:p>
    <w:p w14:paraId="67878DDC">
      <w:pPr>
        <w:pStyle w:val="3"/>
        <w:bidi w:val="0"/>
      </w:pPr>
      <w:r>
        <w:rPr>
          <w:rFonts w:hint="eastAsia"/>
          <w:lang w:val="en-US" w:eastAsia="zh-CN"/>
        </w:rPr>
        <w:t>根据《福建省教育厅关于举办福建省大学生创新大赛（2024）的通知》（闽教高〔2024〕13号），经过大赛专家委员会评审、组织委员会审定，公布大赛获奖名单。</w:t>
      </w:r>
    </w:p>
    <w:p w14:paraId="1BFFD9BE">
      <w:pPr>
        <w:pStyle w:val="3"/>
        <w:bidi w:val="0"/>
        <w:rPr>
          <w:rFonts w:hint="eastAsia"/>
        </w:rPr>
      </w:pPr>
      <w:r>
        <w:rPr>
          <w:rFonts w:hint="eastAsia"/>
          <w:lang w:val="en-US" w:eastAsia="zh-CN"/>
        </w:rPr>
        <w:t>由我校游戏产业学院李榕玲院长以及学院教师：郭抒婷、陈琳颖、郭德强、林伟星（外聘）指导的《数说银雕——畲族非遗银雕技艺闽台传播的先行者》，在本次大赛中获得职教赛道高职创意组银奖。由我校职业培训处夏副顺处长参与指导的《控藻专家-纯物理控藻技术领航者》在本次大赛中获得高教主赛道本科生创业组金奖。</w:t>
      </w:r>
    </w:p>
    <w:p w14:paraId="58FED483">
      <w:pPr>
        <w:pStyle w:val="3"/>
        <w:bidi w:val="0"/>
        <w:rPr>
          <w:rFonts w:hint="eastAsia"/>
        </w:rPr>
      </w:pPr>
      <w:r>
        <w:rPr>
          <w:rFonts w:hint="eastAsia"/>
          <w:lang w:val="en-US" w:eastAsia="zh-CN"/>
        </w:rPr>
        <w:drawing>
          <wp:inline distT="0" distB="0" distL="114300" distR="114300">
            <wp:extent cx="4319905" cy="2489835"/>
            <wp:effectExtent l="0" t="0" r="8255" b="9525"/>
            <wp:docPr id="3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IMG_256"/>
                    <pic:cNvPicPr>
                      <a:picLocks noChangeAspect="1"/>
                    </pic:cNvPicPr>
                  </pic:nvPicPr>
                  <pic:blipFill>
                    <a:blip r:embed="rId18"/>
                    <a:stretch>
                      <a:fillRect/>
                    </a:stretch>
                  </pic:blipFill>
                  <pic:spPr>
                    <a:xfrm>
                      <a:off x="0" y="0"/>
                      <a:ext cx="4319905" cy="2489835"/>
                    </a:xfrm>
                    <a:prstGeom prst="rect">
                      <a:avLst/>
                    </a:prstGeom>
                    <a:noFill/>
                    <a:ln w="9525">
                      <a:noFill/>
                    </a:ln>
                  </pic:spPr>
                </pic:pic>
              </a:graphicData>
            </a:graphic>
          </wp:inline>
        </w:drawing>
      </w:r>
    </w:p>
    <w:p w14:paraId="0825C00F">
      <w:pPr>
        <w:pStyle w:val="3"/>
        <w:bidi w:val="0"/>
        <w:rPr>
          <w:rFonts w:hint="eastAsia"/>
        </w:rPr>
      </w:pPr>
      <w:r>
        <w:rPr>
          <w:rFonts w:hint="eastAsia"/>
          <w:lang w:val="en-US" w:eastAsia="zh-CN"/>
        </w:rPr>
        <w:drawing>
          <wp:inline distT="0" distB="0" distL="114300" distR="114300">
            <wp:extent cx="4319905" cy="2106930"/>
            <wp:effectExtent l="0" t="0" r="8255" b="11430"/>
            <wp:docPr id="3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7"/>
                    <pic:cNvPicPr>
                      <a:picLocks noChangeAspect="1"/>
                    </pic:cNvPicPr>
                  </pic:nvPicPr>
                  <pic:blipFill>
                    <a:blip r:embed="rId19"/>
                    <a:stretch>
                      <a:fillRect/>
                    </a:stretch>
                  </pic:blipFill>
                  <pic:spPr>
                    <a:xfrm>
                      <a:off x="0" y="0"/>
                      <a:ext cx="4319905" cy="2106930"/>
                    </a:xfrm>
                    <a:prstGeom prst="rect">
                      <a:avLst/>
                    </a:prstGeom>
                    <a:noFill/>
                    <a:ln w="9525">
                      <a:noFill/>
                    </a:ln>
                  </pic:spPr>
                </pic:pic>
              </a:graphicData>
            </a:graphic>
          </wp:inline>
        </w:drawing>
      </w:r>
    </w:p>
    <w:p w14:paraId="6D3A9DF8">
      <w:pPr>
        <w:pStyle w:val="3"/>
        <w:bidi w:val="0"/>
        <w:rPr>
          <w:rFonts w:hint="eastAsia"/>
          <w:lang w:eastAsia="zh-CN"/>
        </w:rPr>
      </w:pPr>
    </w:p>
    <w:p w14:paraId="7136E283">
      <w:pPr>
        <w:rPr>
          <w:rFonts w:hint="eastAsia"/>
          <w:lang w:eastAsia="zh-CN"/>
        </w:rPr>
      </w:pPr>
    </w:p>
    <w:p w14:paraId="607A0CD5">
      <w:pPr>
        <w:pStyle w:val="3"/>
        <w:bidi w:val="0"/>
        <w:ind w:left="0" w:leftChars="0" w:firstLine="0" w:firstLineChars="0"/>
        <w:jc w:val="center"/>
        <w:rPr>
          <w:rFonts w:hint="eastAsia"/>
          <w:b/>
          <w:bCs/>
          <w:lang w:eastAsia="zh-CN"/>
        </w:rPr>
      </w:pPr>
      <w:r>
        <w:rPr>
          <w:rFonts w:hint="eastAsia"/>
          <w:b/>
          <w:bCs/>
          <w:lang w:eastAsia="zh-CN"/>
        </w:rPr>
        <w:t>喜讯丨我校游戏产业学院教师非遗软木画作品被福建省文联省海峡民间艺术馆收藏</w:t>
      </w:r>
    </w:p>
    <w:p w14:paraId="591C3E21">
      <w:pPr>
        <w:pStyle w:val="3"/>
        <w:bidi w:val="0"/>
        <w:rPr>
          <w:rFonts w:hint="eastAsia"/>
          <w:lang w:eastAsia="zh-CN"/>
        </w:rPr>
      </w:pPr>
    </w:p>
    <w:p w14:paraId="519DBEB7">
      <w:pPr>
        <w:pStyle w:val="3"/>
        <w:bidi w:val="0"/>
      </w:pPr>
      <w:r>
        <w:rPr>
          <w:rFonts w:hint="eastAsia"/>
        </w:rPr>
        <w:t>近日，我校游戏产业学院教师杨程容所作的非遗软木画作品《椰岛风情》被福建省文联省海峡民间艺术馆正式收藏。据悉，该艺术馆隶属于福建省文联，是省财政拨款的公益性单位，不仅承载着艺术惠民的重任，也是福建省对外文化交流的重要基地。</w:t>
      </w:r>
    </w:p>
    <w:p w14:paraId="6E200812">
      <w:pPr>
        <w:pStyle w:val="3"/>
        <w:bidi w:val="0"/>
        <w:rPr>
          <w:rFonts w:hint="eastAsia"/>
        </w:rPr>
      </w:pPr>
      <w:r>
        <w:rPr>
          <w:rFonts w:hint="eastAsia"/>
        </w:rPr>
        <w:t>在创作《椰岛风情》的过程中，杨程容老师深入挖掘了相关的历史文化背景，巧妙地将传统与现代元素相融合，使作品不仅具有深厚的文化底蕴，更彰显出鲜明的时代特色。</w:t>
      </w:r>
    </w:p>
    <w:p w14:paraId="2649C12C">
      <w:pPr>
        <w:pStyle w:val="3"/>
        <w:bidi w:val="0"/>
        <w:rPr>
          <w:rFonts w:hint="eastAsia"/>
        </w:rPr>
      </w:pPr>
      <w:r>
        <w:rPr>
          <w:rFonts w:hint="eastAsia"/>
        </w:rPr>
        <w:drawing>
          <wp:inline distT="0" distB="0" distL="114300" distR="114300">
            <wp:extent cx="4319905" cy="2429510"/>
            <wp:effectExtent l="0" t="0" r="8255" b="8890"/>
            <wp:docPr id="35"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1.jpg"/>
                    <pic:cNvPicPr>
                      <a:picLocks noChangeAspect="1"/>
                    </pic:cNvPicPr>
                  </pic:nvPicPr>
                  <pic:blipFill>
                    <a:blip r:embed="rId20"/>
                    <a:stretch>
                      <a:fillRect/>
                    </a:stretch>
                  </pic:blipFill>
                  <pic:spPr>
                    <a:xfrm>
                      <a:off x="0" y="0"/>
                      <a:ext cx="4319905" cy="2429510"/>
                    </a:xfrm>
                    <a:prstGeom prst="rect">
                      <a:avLst/>
                    </a:prstGeom>
                    <a:noFill/>
                    <a:ln w="9525">
                      <a:noFill/>
                    </a:ln>
                  </pic:spPr>
                </pic:pic>
              </a:graphicData>
            </a:graphic>
          </wp:inline>
        </w:drawing>
      </w:r>
    </w:p>
    <w:p w14:paraId="21DBF473">
      <w:pPr>
        <w:pStyle w:val="3"/>
        <w:bidi w:val="0"/>
        <w:rPr>
          <w:rFonts w:hint="eastAsia"/>
        </w:rPr>
      </w:pPr>
      <w:r>
        <w:rPr>
          <w:rFonts w:hint="eastAsia"/>
        </w:rPr>
        <w:drawing>
          <wp:inline distT="0" distB="0" distL="114300" distR="114300">
            <wp:extent cx="4319905" cy="2830195"/>
            <wp:effectExtent l="0" t="0" r="8255" b="4445"/>
            <wp:docPr id="36" name="图片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2.jpg"/>
                    <pic:cNvPicPr>
                      <a:picLocks noChangeAspect="1"/>
                    </pic:cNvPicPr>
                  </pic:nvPicPr>
                  <pic:blipFill>
                    <a:blip r:embed="rId21"/>
                    <a:stretch>
                      <a:fillRect/>
                    </a:stretch>
                  </pic:blipFill>
                  <pic:spPr>
                    <a:xfrm>
                      <a:off x="0" y="0"/>
                      <a:ext cx="4319905" cy="2830195"/>
                    </a:xfrm>
                    <a:prstGeom prst="rect">
                      <a:avLst/>
                    </a:prstGeom>
                    <a:noFill/>
                    <a:ln w="9525">
                      <a:noFill/>
                    </a:ln>
                  </pic:spPr>
                </pic:pic>
              </a:graphicData>
            </a:graphic>
          </wp:inline>
        </w:drawing>
      </w:r>
    </w:p>
    <w:p w14:paraId="112EDFEC">
      <w:pPr>
        <w:pStyle w:val="3"/>
        <w:bidi w:val="0"/>
        <w:rPr>
          <w:rFonts w:hint="eastAsia"/>
        </w:rPr>
      </w:pPr>
      <w:r>
        <w:rPr>
          <w:rFonts w:hint="eastAsia"/>
        </w:rPr>
        <w:drawing>
          <wp:inline distT="0" distB="0" distL="114300" distR="114300">
            <wp:extent cx="4319905" cy="5751830"/>
            <wp:effectExtent l="0" t="0" r="8255" b="8890"/>
            <wp:docPr id="37" name="图片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3.jpg"/>
                    <pic:cNvPicPr>
                      <a:picLocks noChangeAspect="1"/>
                    </pic:cNvPicPr>
                  </pic:nvPicPr>
                  <pic:blipFill>
                    <a:blip r:embed="rId22"/>
                    <a:stretch>
                      <a:fillRect/>
                    </a:stretch>
                  </pic:blipFill>
                  <pic:spPr>
                    <a:xfrm>
                      <a:off x="0" y="0"/>
                      <a:ext cx="4319905" cy="5751830"/>
                    </a:xfrm>
                    <a:prstGeom prst="rect">
                      <a:avLst/>
                    </a:prstGeom>
                    <a:noFill/>
                    <a:ln w="9525">
                      <a:noFill/>
                    </a:ln>
                  </pic:spPr>
                </pic:pic>
              </a:graphicData>
            </a:graphic>
          </wp:inline>
        </w:drawing>
      </w:r>
    </w:p>
    <w:p w14:paraId="2449F2B0">
      <w:pPr>
        <w:pStyle w:val="3"/>
        <w:bidi w:val="0"/>
        <w:rPr>
          <w:rFonts w:hint="eastAsia"/>
        </w:rPr>
      </w:pPr>
      <w:r>
        <w:rPr>
          <w:rFonts w:hint="eastAsia"/>
        </w:rPr>
        <w:t>我校游戏产业学院积极响应学校关于教师个人发展的相关政策，为教师提供良好的创作环境和发展空间。未来，学校将继续致力于将中华优秀传统文化和工匠精神融入课程思政教学中，利用前沿的数字信息技术，推动非遗技艺的传承与创新，培养更多具备博古纳今的创新意识和精益求精的工匠精神的高素质技术技能人才。</w:t>
      </w:r>
    </w:p>
    <w:p w14:paraId="174839C5">
      <w:pPr>
        <w:rPr>
          <w:rFonts w:hint="eastAsia"/>
        </w:rPr>
      </w:pPr>
    </w:p>
    <w:p w14:paraId="3FEDBE86">
      <w:pPr>
        <w:pStyle w:val="2"/>
        <w:rPr>
          <w:rFonts w:hint="eastAsia"/>
        </w:rPr>
      </w:pPr>
    </w:p>
    <w:p w14:paraId="36E2C898">
      <w:pPr>
        <w:pStyle w:val="2"/>
        <w:rPr>
          <w:rFonts w:hint="eastAsia"/>
        </w:rPr>
      </w:pPr>
    </w:p>
    <w:p w14:paraId="513B83F5">
      <w:pPr>
        <w:pStyle w:val="3"/>
        <w:bidi w:val="0"/>
        <w:ind w:left="0" w:leftChars="0" w:firstLine="0" w:firstLineChars="0"/>
        <w:jc w:val="center"/>
        <w:rPr>
          <w:rFonts w:hint="eastAsia"/>
          <w:b/>
          <w:bCs/>
        </w:rPr>
      </w:pPr>
      <w:r>
        <w:rPr>
          <w:rFonts w:hint="eastAsia"/>
          <w:b/>
          <w:bCs/>
        </w:rPr>
        <w:t>我校顺利召开二轮评估专家现场考察工作动员大会</w:t>
      </w:r>
    </w:p>
    <w:p w14:paraId="0AEAA055">
      <w:pPr>
        <w:pStyle w:val="2"/>
        <w:rPr>
          <w:rFonts w:hint="eastAsia"/>
        </w:rPr>
      </w:pPr>
    </w:p>
    <w:p w14:paraId="7C102C83">
      <w:pPr>
        <w:pStyle w:val="3"/>
        <w:bidi w:val="0"/>
        <w:rPr>
          <w:rFonts w:hint="eastAsia"/>
          <w:lang w:eastAsia="zh-CN"/>
        </w:rPr>
      </w:pPr>
      <w:r>
        <w:rPr>
          <w:rFonts w:hint="eastAsia"/>
          <w:lang w:eastAsia="zh-CN"/>
        </w:rPr>
        <w:t>为全面动员我校师生以饱满的热情和坚定的决心迎接即将到来的二轮评估工作，2024年11月4日下午，我校二轮评估专家现场考察工作动员大会在行政楼208会议室顺利召开。学校理事长俞飚、党委书记林莺、执行校长俞发仁等校领导及各职能部门、各学院（部）正副职领导共同参加本次会议。会议由执行校长俞发仁主持。</w:t>
      </w:r>
    </w:p>
    <w:p w14:paraId="5F1F7DEB">
      <w:pPr>
        <w:pStyle w:val="3"/>
        <w:bidi w:val="0"/>
        <w:ind w:left="0" w:leftChars="0" w:firstLine="0" w:firstLineChars="0"/>
        <w:jc w:val="center"/>
      </w:pPr>
      <w:r>
        <w:drawing>
          <wp:inline distT="0" distB="0" distL="114300" distR="114300">
            <wp:extent cx="4319905" cy="3025140"/>
            <wp:effectExtent l="0" t="0" r="8255" b="762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3"/>
                    <a:stretch>
                      <a:fillRect/>
                    </a:stretch>
                  </pic:blipFill>
                  <pic:spPr>
                    <a:xfrm>
                      <a:off x="0" y="0"/>
                      <a:ext cx="4319905" cy="3025140"/>
                    </a:xfrm>
                    <a:prstGeom prst="rect">
                      <a:avLst/>
                    </a:prstGeom>
                    <a:noFill/>
                    <a:ln>
                      <a:noFill/>
                    </a:ln>
                  </pic:spPr>
                </pic:pic>
              </a:graphicData>
            </a:graphic>
          </wp:inline>
        </w:drawing>
      </w:r>
    </w:p>
    <w:p w14:paraId="4EA950CB">
      <w:pPr>
        <w:pStyle w:val="3"/>
        <w:bidi w:val="0"/>
        <w:ind w:left="0" w:leftChars="0" w:firstLine="0" w:firstLineChars="0"/>
        <w:jc w:val="center"/>
        <w:rPr>
          <w:rFonts w:hint="eastAsia"/>
          <w:lang w:eastAsia="zh-CN"/>
        </w:rPr>
      </w:pPr>
      <w:r>
        <w:rPr>
          <w:rFonts w:hint="eastAsia"/>
          <w:lang w:eastAsia="zh-CN"/>
        </w:rPr>
        <w:t>动员大会现场</w:t>
      </w:r>
    </w:p>
    <w:p w14:paraId="33811FA8">
      <w:pPr>
        <w:pStyle w:val="3"/>
        <w:bidi w:val="0"/>
        <w:rPr>
          <w:rFonts w:hint="eastAsia"/>
          <w:lang w:eastAsia="zh-CN"/>
        </w:rPr>
      </w:pPr>
      <w:r>
        <w:rPr>
          <w:rFonts w:hint="eastAsia"/>
          <w:lang w:eastAsia="zh-CN"/>
        </w:rPr>
        <w:t>会上，执行校长俞发仁首先就二轮评估预评估中我校存在的问题及相关整改意见进行了相应的工作部署，并作出总结讲话，要求各职能部门、二级教学单位对照工作任务清单，在规定时间内做好整改，以最好的状态迎接即将来临的正式评估。</w:t>
      </w:r>
    </w:p>
    <w:p w14:paraId="2857BE95">
      <w:pPr>
        <w:pStyle w:val="3"/>
        <w:bidi w:val="0"/>
        <w:ind w:left="0" w:leftChars="0" w:firstLine="0" w:firstLineChars="0"/>
        <w:jc w:val="center"/>
      </w:pPr>
      <w:r>
        <w:drawing>
          <wp:inline distT="0" distB="0" distL="114300" distR="114300">
            <wp:extent cx="4319905" cy="3241675"/>
            <wp:effectExtent l="0" t="0" r="8255" b="444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24"/>
                    <a:stretch>
                      <a:fillRect/>
                    </a:stretch>
                  </pic:blipFill>
                  <pic:spPr>
                    <a:xfrm>
                      <a:off x="0" y="0"/>
                      <a:ext cx="4319905" cy="3241675"/>
                    </a:xfrm>
                    <a:prstGeom prst="rect">
                      <a:avLst/>
                    </a:prstGeom>
                    <a:noFill/>
                    <a:ln>
                      <a:noFill/>
                    </a:ln>
                  </pic:spPr>
                </pic:pic>
              </a:graphicData>
            </a:graphic>
          </wp:inline>
        </w:drawing>
      </w:r>
    </w:p>
    <w:p w14:paraId="784365E6">
      <w:pPr>
        <w:pStyle w:val="3"/>
        <w:bidi w:val="0"/>
        <w:ind w:left="0" w:leftChars="0" w:firstLine="0" w:firstLineChars="0"/>
        <w:jc w:val="center"/>
        <w:rPr>
          <w:rFonts w:hint="eastAsia"/>
          <w:lang w:eastAsia="zh-CN"/>
        </w:rPr>
      </w:pPr>
      <w:r>
        <w:rPr>
          <w:rFonts w:hint="eastAsia"/>
          <w:lang w:eastAsia="zh-CN"/>
        </w:rPr>
        <w:t>执行校长俞发仁讲话</w:t>
      </w:r>
    </w:p>
    <w:p w14:paraId="3CE81825">
      <w:pPr>
        <w:pStyle w:val="3"/>
        <w:bidi w:val="0"/>
        <w:rPr>
          <w:rFonts w:hint="eastAsia"/>
          <w:lang w:eastAsia="zh-CN"/>
        </w:rPr>
      </w:pPr>
      <w:r>
        <w:rPr>
          <w:rFonts w:hint="eastAsia"/>
          <w:lang w:eastAsia="zh-CN"/>
        </w:rPr>
        <w:t>紧接着，校党委书记林莺在讲话中指出二轮评估的过程既是接受检查的过程，也是展示学校形象的机会。要求全体教职员工，包括服务人员在内都要全力以赴，沉着应对，强弱项、提形象，力求打好、打赢这场“二轮评估战”。</w:t>
      </w:r>
    </w:p>
    <w:p w14:paraId="77AD2E29">
      <w:pPr>
        <w:pStyle w:val="3"/>
        <w:bidi w:val="0"/>
        <w:ind w:left="0" w:leftChars="0" w:firstLine="0" w:firstLineChars="0"/>
        <w:jc w:val="center"/>
        <w:rPr>
          <w:rFonts w:hint="eastAsia"/>
          <w:lang w:eastAsia="zh-CN"/>
        </w:rPr>
      </w:pPr>
      <w:r>
        <w:drawing>
          <wp:inline distT="0" distB="0" distL="114300" distR="114300">
            <wp:extent cx="4319905" cy="3198495"/>
            <wp:effectExtent l="0" t="0" r="8255" b="190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5"/>
                    <a:stretch>
                      <a:fillRect/>
                    </a:stretch>
                  </pic:blipFill>
                  <pic:spPr>
                    <a:xfrm>
                      <a:off x="0" y="0"/>
                      <a:ext cx="4319905" cy="3198495"/>
                    </a:xfrm>
                    <a:prstGeom prst="rect">
                      <a:avLst/>
                    </a:prstGeom>
                    <a:noFill/>
                    <a:ln>
                      <a:noFill/>
                    </a:ln>
                  </pic:spPr>
                </pic:pic>
              </a:graphicData>
            </a:graphic>
          </wp:inline>
        </w:drawing>
      </w:r>
    </w:p>
    <w:p w14:paraId="4C59E4EF">
      <w:pPr>
        <w:pStyle w:val="3"/>
        <w:bidi w:val="0"/>
        <w:ind w:left="0" w:leftChars="0" w:firstLine="0" w:firstLineChars="0"/>
        <w:jc w:val="center"/>
        <w:rPr>
          <w:rFonts w:hint="eastAsia"/>
          <w:lang w:eastAsia="zh-CN"/>
        </w:rPr>
      </w:pPr>
      <w:r>
        <w:rPr>
          <w:rFonts w:hint="eastAsia"/>
          <w:lang w:eastAsia="zh-CN"/>
        </w:rPr>
        <w:t>校党委书记林莺讲话</w:t>
      </w:r>
    </w:p>
    <w:p w14:paraId="0F5F1DF0">
      <w:pPr>
        <w:pStyle w:val="3"/>
        <w:bidi w:val="0"/>
        <w:rPr>
          <w:rFonts w:hint="eastAsia"/>
          <w:lang w:eastAsia="zh-CN"/>
        </w:rPr>
      </w:pPr>
      <w:r>
        <w:rPr>
          <w:rFonts w:hint="eastAsia"/>
          <w:lang w:eastAsia="zh-CN"/>
        </w:rPr>
        <w:t>最后，学校理事长俞飚对迎接正式二轮评估工作提出了五点明确要求：一是明确各事项的完成时间及负责人；二是遇到问题要及时、主动汇报；三是定期检查工作任务清单的完成情况；四是针对任务清单定期召开工作例会；五是正式评估前进行校内模拟演练，确保评估工作万无一失。</w:t>
      </w:r>
    </w:p>
    <w:p w14:paraId="47B38545">
      <w:pPr>
        <w:pStyle w:val="3"/>
        <w:bidi w:val="0"/>
        <w:ind w:left="0" w:leftChars="0" w:firstLine="0" w:firstLineChars="0"/>
        <w:jc w:val="center"/>
      </w:pPr>
      <w:r>
        <w:drawing>
          <wp:inline distT="0" distB="0" distL="114300" distR="114300">
            <wp:extent cx="4319905" cy="3217545"/>
            <wp:effectExtent l="0" t="0" r="8255" b="1333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26"/>
                    <a:stretch>
                      <a:fillRect/>
                    </a:stretch>
                  </pic:blipFill>
                  <pic:spPr>
                    <a:xfrm>
                      <a:off x="0" y="0"/>
                      <a:ext cx="4319905" cy="3217545"/>
                    </a:xfrm>
                    <a:prstGeom prst="rect">
                      <a:avLst/>
                    </a:prstGeom>
                    <a:noFill/>
                    <a:ln>
                      <a:noFill/>
                    </a:ln>
                  </pic:spPr>
                </pic:pic>
              </a:graphicData>
            </a:graphic>
          </wp:inline>
        </w:drawing>
      </w:r>
    </w:p>
    <w:p w14:paraId="42A99EF4">
      <w:pPr>
        <w:pStyle w:val="3"/>
        <w:bidi w:val="0"/>
        <w:ind w:left="0" w:leftChars="0" w:firstLine="0" w:firstLineChars="0"/>
        <w:jc w:val="center"/>
        <w:rPr>
          <w:rFonts w:hint="eastAsia"/>
          <w:lang w:eastAsia="zh-CN"/>
        </w:rPr>
      </w:pPr>
      <w:r>
        <w:rPr>
          <w:rFonts w:hint="eastAsia"/>
          <w:lang w:eastAsia="zh-CN"/>
        </w:rPr>
        <w:t>理事长俞飚讲话</w:t>
      </w:r>
    </w:p>
    <w:p w14:paraId="3EF6457E">
      <w:pPr>
        <w:pStyle w:val="3"/>
        <w:bidi w:val="0"/>
        <w:rPr>
          <w:rFonts w:hint="eastAsia"/>
          <w:lang w:eastAsia="zh-CN"/>
        </w:rPr>
      </w:pPr>
      <w:r>
        <w:rPr>
          <w:rFonts w:hint="eastAsia"/>
          <w:lang w:eastAsia="zh-CN"/>
        </w:rPr>
        <w:t>本次动员大会的圆满召开，不仅增强了师生对评估工作的理解与认同，更凝聚了全校上下的共识与力量。接下来，全校师生将以更加饱满的热情、更加务实的作风，迅速行动起来，将评估要求转化为实际行动，将评估压力转化为发展动力，为做好二轮评估准备工作贡献力量。</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background-color:#FFF5F6;">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background-color:#FFF5F6;text-indent:2em;">
    <w:altName w:val="AMGD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41835"/>
    <w:multiLevelType w:val="singleLevel"/>
    <w:tmpl w:val="6504183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21B48D3"/>
    <w:rsid w:val="03CD268A"/>
    <w:rsid w:val="044E5DAF"/>
    <w:rsid w:val="05A1301C"/>
    <w:rsid w:val="06C66228"/>
    <w:rsid w:val="07610E7C"/>
    <w:rsid w:val="0C576248"/>
    <w:rsid w:val="0C6618F0"/>
    <w:rsid w:val="0DE91189"/>
    <w:rsid w:val="123F6621"/>
    <w:rsid w:val="130D47A4"/>
    <w:rsid w:val="13A10F7E"/>
    <w:rsid w:val="15B56EC2"/>
    <w:rsid w:val="16585B40"/>
    <w:rsid w:val="16A94687"/>
    <w:rsid w:val="1721486F"/>
    <w:rsid w:val="17782006"/>
    <w:rsid w:val="17C214C3"/>
    <w:rsid w:val="18251ACD"/>
    <w:rsid w:val="186D1754"/>
    <w:rsid w:val="18A70D35"/>
    <w:rsid w:val="1A0149EB"/>
    <w:rsid w:val="1A0F5439"/>
    <w:rsid w:val="1B4B7CF3"/>
    <w:rsid w:val="1DA04055"/>
    <w:rsid w:val="1DF17086"/>
    <w:rsid w:val="250F431B"/>
    <w:rsid w:val="262D044F"/>
    <w:rsid w:val="279E129E"/>
    <w:rsid w:val="27DE1E11"/>
    <w:rsid w:val="29AD27B0"/>
    <w:rsid w:val="2A275984"/>
    <w:rsid w:val="2C2D1388"/>
    <w:rsid w:val="2C657742"/>
    <w:rsid w:val="2C800474"/>
    <w:rsid w:val="2D684463"/>
    <w:rsid w:val="2D7F5E4C"/>
    <w:rsid w:val="2F154177"/>
    <w:rsid w:val="2F414F6C"/>
    <w:rsid w:val="2F7D490D"/>
    <w:rsid w:val="33184235"/>
    <w:rsid w:val="33285AB2"/>
    <w:rsid w:val="33370B5F"/>
    <w:rsid w:val="33837C44"/>
    <w:rsid w:val="34A97170"/>
    <w:rsid w:val="357B4DE9"/>
    <w:rsid w:val="398B39B3"/>
    <w:rsid w:val="3A2D1BB9"/>
    <w:rsid w:val="3A8141BA"/>
    <w:rsid w:val="3AF80FC0"/>
    <w:rsid w:val="3BD10EFB"/>
    <w:rsid w:val="3D5B233F"/>
    <w:rsid w:val="3E613D17"/>
    <w:rsid w:val="3E9230EE"/>
    <w:rsid w:val="3F7B1DD4"/>
    <w:rsid w:val="41076015"/>
    <w:rsid w:val="41897C24"/>
    <w:rsid w:val="41DD42A4"/>
    <w:rsid w:val="420E6F2F"/>
    <w:rsid w:val="43497E5E"/>
    <w:rsid w:val="44920CA7"/>
    <w:rsid w:val="45A32084"/>
    <w:rsid w:val="477E4968"/>
    <w:rsid w:val="478E770C"/>
    <w:rsid w:val="48CF7EF5"/>
    <w:rsid w:val="4ABA1C8E"/>
    <w:rsid w:val="4C080E93"/>
    <w:rsid w:val="4C5A4EBB"/>
    <w:rsid w:val="4D8162D7"/>
    <w:rsid w:val="4DCC4029"/>
    <w:rsid w:val="4DD0778F"/>
    <w:rsid w:val="4DEF15E6"/>
    <w:rsid w:val="4F9A44F8"/>
    <w:rsid w:val="50DB3F55"/>
    <w:rsid w:val="50DF5195"/>
    <w:rsid w:val="51EA5FE5"/>
    <w:rsid w:val="52700DBA"/>
    <w:rsid w:val="52DB10B0"/>
    <w:rsid w:val="53511DC0"/>
    <w:rsid w:val="57396CD9"/>
    <w:rsid w:val="59C4289D"/>
    <w:rsid w:val="5AAE6BFF"/>
    <w:rsid w:val="5AF75DE9"/>
    <w:rsid w:val="5BF22FC6"/>
    <w:rsid w:val="5CC13910"/>
    <w:rsid w:val="5E706CA5"/>
    <w:rsid w:val="5EAA29FC"/>
    <w:rsid w:val="5EC468BC"/>
    <w:rsid w:val="5F7B63EF"/>
    <w:rsid w:val="5FAD7C85"/>
    <w:rsid w:val="65C94DB0"/>
    <w:rsid w:val="662415EA"/>
    <w:rsid w:val="67524C3F"/>
    <w:rsid w:val="686554F2"/>
    <w:rsid w:val="6ADD35F6"/>
    <w:rsid w:val="6CB174AE"/>
    <w:rsid w:val="6D98138E"/>
    <w:rsid w:val="6E511F6F"/>
    <w:rsid w:val="6F7A45C3"/>
    <w:rsid w:val="6F8979AB"/>
    <w:rsid w:val="70251252"/>
    <w:rsid w:val="707D4248"/>
    <w:rsid w:val="70825FBE"/>
    <w:rsid w:val="72030BA5"/>
    <w:rsid w:val="723C15B2"/>
    <w:rsid w:val="75295853"/>
    <w:rsid w:val="75303EF1"/>
    <w:rsid w:val="755E3466"/>
    <w:rsid w:val="7593515B"/>
    <w:rsid w:val="75940523"/>
    <w:rsid w:val="772C1DF4"/>
    <w:rsid w:val="773E6472"/>
    <w:rsid w:val="777607BB"/>
    <w:rsid w:val="783D63CB"/>
    <w:rsid w:val="79045877"/>
    <w:rsid w:val="7ADB19C8"/>
    <w:rsid w:val="7D1E5C98"/>
    <w:rsid w:val="7F4414FC"/>
    <w:rsid w:val="7F8124F1"/>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2008</Words>
  <Characters>2075</Characters>
  <Lines>0</Lines>
  <Paragraphs>0</Paragraphs>
  <TotalTime>0</TotalTime>
  <ScaleCrop>false</ScaleCrop>
  <LinksUpToDate>false</LinksUpToDate>
  <CharactersWithSpaces>2097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2024-11-08T16:27:26Z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