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3D521">
      <w:pPr>
        <w:spacing w:before="100" w:beforeLines="0" w:beforeAutospacing="1" w:after="100" w:afterLines="0" w:afterAutospacing="1" w:line="336" w:lineRule="auto"/>
        <w:ind w:firstLine="0" w:firstLineChars="0"/>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6"/>
                    <a:stretch>
                      <a:fillRect/>
                    </a:stretch>
                  </pic:blipFill>
                  <pic:spPr>
                    <a:xfrm>
                      <a:off x="0" y="0"/>
                      <a:ext cx="3329940" cy="953135"/>
                    </a:xfrm>
                    <a:prstGeom prst="rect">
                      <a:avLst/>
                    </a:prstGeom>
                    <a:noFill/>
                    <a:ln w="9525">
                      <a:noFill/>
                    </a:ln>
                  </pic:spPr>
                </pic:pic>
              </a:graphicData>
            </a:graphic>
          </wp:inline>
        </w:drawing>
      </w:r>
    </w:p>
    <w:p w14:paraId="18447723">
      <w:pPr>
        <w:spacing w:before="100" w:beforeLines="0" w:beforeAutospacing="1" w:after="100" w:afterLines="0" w:afterAutospacing="1"/>
        <w:ind w:firstLine="0" w:firstLineChars="0"/>
        <w:jc w:val="center"/>
        <w:rPr>
          <w:rFonts w:hint="eastAsia" w:ascii="宋体" w:hAnsi="宋体" w:eastAsia="宋体"/>
          <w:b/>
          <w:color w:val="FF0000"/>
          <w:sz w:val="104"/>
          <w:szCs w:val="84"/>
        </w:rPr>
      </w:pPr>
      <w:r>
        <w:rPr>
          <w:rFonts w:hint="eastAsia" w:ascii="宋体" w:hAnsi="宋体" w:eastAsia="宋体"/>
          <w:b/>
          <w:color w:val="FF0000"/>
          <w:sz w:val="104"/>
          <w:szCs w:val="84"/>
        </w:rPr>
        <w:t>评建工作简报</w:t>
      </w:r>
    </w:p>
    <w:p w14:paraId="532359C4">
      <w:pPr>
        <w:spacing w:before="100" w:beforeLines="0" w:beforeAutospacing="1" w:after="100" w:afterLines="0" w:afterAutospacing="1" w:line="500" w:lineRule="exact"/>
        <w:ind w:firstLine="0" w:firstLineChars="0"/>
        <w:jc w:val="center"/>
        <w:rPr>
          <w:rFonts w:hint="eastAsia" w:ascii="宋体" w:hAnsi="宋体" w:eastAsia="宋体"/>
          <w:sz w:val="30"/>
          <w:szCs w:val="30"/>
          <w:lang w:eastAsia="zh-CN"/>
        </w:rPr>
      </w:pPr>
      <w:r>
        <w:rPr>
          <w:rFonts w:hint="eastAsia" w:ascii="宋体" w:hAnsi="宋体" w:eastAsia="宋体"/>
          <w:color w:val="000000"/>
          <w:sz w:val="30"/>
          <w:szCs w:val="30"/>
        </w:rPr>
        <w:t>第</w:t>
      </w:r>
      <w:r>
        <w:rPr>
          <w:rFonts w:hint="eastAsia" w:ascii="宋体" w:hAnsi="宋体"/>
          <w:color w:val="000000"/>
          <w:sz w:val="30"/>
          <w:szCs w:val="30"/>
          <w:lang w:val="en-US" w:eastAsia="zh-CN"/>
        </w:rPr>
        <w:t>五十三</w:t>
      </w:r>
      <w:r>
        <w:rPr>
          <w:rFonts w:hint="eastAsia" w:ascii="宋体" w:hAnsi="宋体" w:eastAsia="宋体"/>
          <w:color w:val="000000"/>
          <w:sz w:val="30"/>
          <w:szCs w:val="30"/>
        </w:rPr>
        <w:t>期</w:t>
      </w:r>
    </w:p>
    <w:p w14:paraId="6719D82E">
      <w:pPr>
        <w:spacing w:before="100" w:beforeLines="0" w:beforeAutospacing="1" w:after="100" w:afterLines="0" w:afterAutospacing="1" w:line="500" w:lineRule="exact"/>
        <w:ind w:firstLine="0" w:firstLineChars="0"/>
        <w:jc w:val="left"/>
        <w:rPr>
          <w:rFonts w:hint="eastAsia" w:ascii="宋体" w:hAnsi="宋体" w:eastAsia="宋体"/>
          <w:color w:val="000000"/>
          <w:sz w:val="30"/>
          <w:szCs w:val="30"/>
        </w:rPr>
      </w:pPr>
      <w:r>
        <w:rPr>
          <w:rFonts w:hint="eastAsia" w:ascii="宋体" w:hAnsi="宋体" w:eastAsia="宋体"/>
          <w:color w:val="000000"/>
          <w:sz w:val="30"/>
          <w:szCs w:val="30"/>
        </w:rPr>
        <w:t>福州</w:t>
      </w:r>
      <w:r>
        <w:rPr>
          <w:rFonts w:hint="eastAsia" w:ascii="宋体" w:hAnsi="宋体" w:eastAsia="宋体"/>
          <w:color w:val="000000"/>
          <w:sz w:val="30"/>
          <w:szCs w:val="30"/>
          <w:lang w:eastAsia="zh-CN"/>
        </w:rPr>
        <w:t>软件</w:t>
      </w:r>
      <w:r>
        <w:rPr>
          <w:rFonts w:hint="eastAsia" w:ascii="宋体" w:hAnsi="宋体" w:eastAsia="宋体"/>
          <w:color w:val="000000"/>
          <w:sz w:val="30"/>
          <w:szCs w:val="30"/>
        </w:rPr>
        <w:t>职业技术学院评建工作办公室编   20</w:t>
      </w:r>
      <w:r>
        <w:rPr>
          <w:rFonts w:hint="eastAsia" w:ascii="宋体" w:hAnsi="宋体" w:eastAsia="宋体"/>
          <w:color w:val="000000"/>
          <w:sz w:val="30"/>
          <w:szCs w:val="30"/>
          <w:lang w:val="en-US" w:eastAsia="zh-CN"/>
        </w:rPr>
        <w:t>24年</w:t>
      </w:r>
      <w:r>
        <w:rPr>
          <w:rFonts w:hint="eastAsia" w:ascii="宋体" w:hAnsi="宋体"/>
          <w:color w:val="000000"/>
          <w:sz w:val="30"/>
          <w:szCs w:val="30"/>
          <w:lang w:val="en-US" w:eastAsia="zh-CN"/>
        </w:rPr>
        <w:t>6</w:t>
      </w:r>
      <w:r>
        <w:rPr>
          <w:rFonts w:hint="eastAsia" w:ascii="宋体" w:hAnsi="宋体" w:eastAsia="宋体"/>
          <w:color w:val="000000"/>
          <w:sz w:val="30"/>
          <w:szCs w:val="30"/>
        </w:rPr>
        <w:t>月</w:t>
      </w:r>
      <w:r>
        <w:rPr>
          <w:rFonts w:hint="eastAsia" w:ascii="宋体" w:hAnsi="宋体"/>
          <w:color w:val="000000"/>
          <w:sz w:val="30"/>
          <w:szCs w:val="30"/>
          <w:lang w:val="en-US" w:eastAsia="zh-CN"/>
        </w:rPr>
        <w:t>16</w:t>
      </w:r>
      <w:r>
        <w:rPr>
          <w:rFonts w:hint="eastAsia" w:ascii="宋体" w:hAnsi="宋体" w:eastAsia="宋体"/>
          <w:color w:val="000000"/>
          <w:sz w:val="30"/>
          <w:szCs w:val="30"/>
        </w:rPr>
        <w:t>日</w:t>
      </w:r>
    </w:p>
    <w:p w14:paraId="6AB8B53D">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500" w:lineRule="exact"/>
        <w:ind w:firstLine="0" w:firstLineChars="0"/>
        <w:jc w:val="left"/>
        <w:textAlignment w:val="auto"/>
        <w:rPr>
          <w:rFonts w:hint="eastAsia"/>
          <w:color w:val="000000"/>
          <w:sz w:val="30"/>
          <w:szCs w:val="30"/>
        </w:rPr>
      </w:pPr>
      <w:r>
        <w:rPr>
          <w:sz w:val="30"/>
        </w:rPr>
        <mc:AlternateContent>
          <mc:Choice Requires="wps">
            <w:drawing>
              <wp:inline distT="0" distB="0" distL="114300" distR="114300">
                <wp:extent cx="5283835" cy="16510"/>
                <wp:effectExtent l="0" t="0" r="0" b="0"/>
                <wp:docPr id="3" name="直接连接符 3"/>
                <wp:cNvGraphicFramePr/>
                <a:graphic xmlns:a="http://schemas.openxmlformats.org/drawingml/2006/main">
                  <a:graphicData uri="http://schemas.microsoft.com/office/word/2010/wordprocessingShape">
                    <wps:wsp>
                      <wps:cNvCnPr/>
                      <wps:spPr>
                        <a:xfrm flipV="1">
                          <a:off x="1143000" y="4100195"/>
                          <a:ext cx="5283835" cy="1651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flip:y;height:1.3pt;width:416.05pt;" filled="f" stroked="t" coordsize="21600,21600" o:gfxdata="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9HTJtQAAAADAQAADwAAAAAAAAABACAAAAAi&#10;AAAAZHJzL2Rvd25yZXYueG1sUEsBAhQAFAAAAAgAh07iQARaFIcOAgAA/wMAAA4AAAAAAAAAAQAg&#10;AAAAIwEAAGRycy9lMm9Eb2MueG1sUEsFBgAAAAAGAAYAWQEAAKMFAAAAAA==&#10;">
                <v:fill on="f" focussize="0,0"/>
                <v:stroke weight="1.5pt" color="#FF0000" joinstyle="round"/>
                <v:imagedata o:title=""/>
                <o:lock v:ext="edit" aspectratio="f"/>
                <w10:wrap type="none"/>
                <w10:anchorlock/>
              </v:line>
            </w:pict>
          </mc:Fallback>
        </mc:AlternateContent>
      </w:r>
    </w:p>
    <w:p w14:paraId="5BE9593E">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left="0" w:leftChars="0" w:firstLine="723" w:firstLineChars="300"/>
        <w:jc w:val="left"/>
        <w:textAlignment w:val="auto"/>
        <w:rPr>
          <w:rFonts w:hint="eastAsia" w:ascii="黑体" w:eastAsia="黑体"/>
          <w:color w:val="000000"/>
          <w:sz w:val="24"/>
          <w:lang w:eastAsia="zh-CN"/>
        </w:rPr>
      </w:pP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r>
        <w:rPr>
          <w:rFonts w:hint="eastAsia" w:ascii="黑体" w:eastAsia="黑体"/>
          <w:color w:val="000000"/>
          <w:sz w:val="24"/>
        </w:rPr>
        <w:t>”的目的，促进我院教育教学工作迈上新台阶</w:t>
      </w:r>
      <w:r>
        <w:rPr>
          <w:rFonts w:hint="eastAsia" w:ascii="黑体" w:eastAsia="黑体"/>
          <w:color w:val="000000"/>
          <w:sz w:val="24"/>
          <w:lang w:eastAsia="zh-CN"/>
        </w:rPr>
        <w:t>。</w:t>
      </w:r>
    </w:p>
    <w:p w14:paraId="79059762">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firstLine="720" w:firstLineChars="300"/>
        <w:jc w:val="left"/>
        <w:textAlignment w:val="auto"/>
        <w:rPr>
          <w:rFonts w:hint="eastAsia" w:ascii="黑体" w:eastAsia="黑体"/>
          <w:color w:val="000000"/>
          <w:sz w:val="24"/>
          <w:lang w:eastAsia="zh-CN"/>
        </w:rPr>
      </w:pPr>
      <w:r>
        <w:rPr>
          <w:rFonts w:hint="eastAsia" w:ascii="黑体" w:eastAsia="黑体"/>
          <w:color w:val="000000"/>
          <w:sz w:val="24"/>
          <w:lang w:eastAsia="zh-CN"/>
        </w:rPr>
        <w:t>我们欢迎各位读者提出宝贵意见和建议，并提供有关评建工作的信息。</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A9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66BF7D4">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喜报 | 我校卓然跆拳道社成员在第九届福州市跆拳道邀请赛暨第十八届“炫武之耀”榕城高校跆拳道交流赛中荣获佳绩</w:t>
            </w:r>
          </w:p>
          <w:p w14:paraId="12767673">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 | 我校在中国青年网2023年高校线上公益课活动荣获佳绩！</w:t>
            </w:r>
          </w:p>
          <w:p w14:paraId="22081287">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喜报｜我校“小太阳·追光社会实践服务队”入选团中央2024年“七彩假期”全国志愿服务示范团队</w:t>
            </w:r>
          </w:p>
          <w:p w14:paraId="6805BA1A">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 | 祝贺我校智能产业学院首篇SCI文章发表！</w:t>
            </w:r>
          </w:p>
          <w:p w14:paraId="4EC60134">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我校举行2024年“青蓝工程”青年教师 说课程大赛</w:t>
            </w:r>
          </w:p>
          <w:p w14:paraId="5CBF133B">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喜讯丨我校游戏产业学院师生团队荣获全国3D大赛16周年精英联赛专项赛省赛华南赛区一等奖并晋级全国赛</w:t>
            </w:r>
          </w:p>
          <w:p w14:paraId="2A87D80C">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 | 我校艺动先锋队、征兵工作站2支团队入选2024年第一批“青春燃·志愿蓝”大学生消防志愿服务团队！</w:t>
            </w:r>
          </w:p>
        </w:tc>
      </w:tr>
    </w:tbl>
    <w:p w14:paraId="0B0D57B9">
      <w:pPr>
        <w:sectPr>
          <w:pgSz w:w="11906" w:h="16838"/>
          <w:pgMar w:top="1440" w:right="1800" w:bottom="850" w:left="1800" w:header="851" w:footer="992" w:gutter="0"/>
          <w:cols w:space="425" w:num="1"/>
          <w:docGrid w:type="lines" w:linePitch="312" w:charSpace="0"/>
        </w:sectPr>
      </w:pPr>
    </w:p>
    <w:p w14:paraId="598509D7">
      <w:pPr>
        <w:keepNext w:val="0"/>
        <w:keepLines w:val="0"/>
        <w:widowControl/>
        <w:suppressLineNumbers w:val="0"/>
        <w:shd w:val="clear" w:fill="FFFFFF"/>
        <w:ind w:left="0" w:leftChars="0" w:firstLine="0" w:firstLineChars="0"/>
        <w:jc w:val="center"/>
        <w:rPr>
          <w:rFonts w:hint="eastAsia" w:ascii="宋体" w:hAnsi="宋体" w:eastAsia="宋体" w:cs="宋体"/>
          <w:b/>
          <w:bCs/>
          <w:i w:val="0"/>
          <w:iCs w:val="0"/>
          <w:caps w:val="0"/>
          <w:spacing w:val="0"/>
          <w:sz w:val="28"/>
          <w:szCs w:val="28"/>
        </w:rPr>
      </w:pPr>
      <w:r>
        <w:rPr>
          <w:rFonts w:hint="eastAsia" w:ascii="宋体" w:hAnsi="宋体" w:eastAsia="宋体" w:cs="宋体"/>
          <w:b/>
          <w:bCs/>
          <w:i w:val="0"/>
          <w:iCs w:val="0"/>
          <w:caps w:val="0"/>
          <w:spacing w:val="0"/>
          <w:kern w:val="0"/>
          <w:sz w:val="28"/>
          <w:szCs w:val="28"/>
          <w:shd w:val="clear" w:fill="FFFFFF"/>
          <w:lang w:val="en-US" w:eastAsia="zh-CN" w:bidi="ar"/>
        </w:rPr>
        <w:t>喜报 | 我校卓然跆拳道社成员在第九届福州市跆拳道邀请赛暨第十八届“炫武之耀”榕城高校跆拳道交流赛中荣获佳绩</w:t>
      </w:r>
    </w:p>
    <w:p w14:paraId="18CBEE6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76"/>
        <w:rPr>
          <w:rFonts w:hint="eastAsia" w:ascii="微软雅黑" w:hAnsi="微软雅黑" w:eastAsia="微软雅黑" w:cs="微软雅黑"/>
          <w:i w:val="0"/>
          <w:iCs w:val="0"/>
          <w:caps w:val="0"/>
          <w:color w:val="212529"/>
          <w:spacing w:val="0"/>
          <w:shd w:val="clear" w:fill="FFFFFF"/>
        </w:rPr>
      </w:pPr>
    </w:p>
    <w:p w14:paraId="22BF39D3">
      <w:pPr>
        <w:pStyle w:val="3"/>
        <w:bidi w:val="0"/>
        <w:rPr>
          <w:rFonts w:hint="eastAsia"/>
        </w:rPr>
      </w:pPr>
      <w:r>
        <w:rPr>
          <w:rFonts w:hint="eastAsia"/>
        </w:rPr>
        <w:t>热烈庆祝我校卓然跆拳道社成员罗恩祈</w:t>
      </w:r>
      <w:r>
        <w:rPr>
          <w:rFonts w:hint="eastAsia"/>
          <w:lang w:eastAsia="zh-CN"/>
        </w:rPr>
        <w:t>、</w:t>
      </w:r>
      <w:r>
        <w:rPr>
          <w:rFonts w:hint="eastAsia"/>
        </w:rPr>
        <w:t>陈施廷同学在第九届福州市跆拳道邀请赛暨第十八届“炫武之耀”榕城高校跆拳道交流赛中荣获单项亚军。</w:t>
      </w:r>
    </w:p>
    <w:p w14:paraId="06888AE9">
      <w:pPr>
        <w:rPr>
          <w:rFonts w:hint="eastAsia"/>
        </w:rPr>
      </w:pPr>
    </w:p>
    <w:p w14:paraId="698DD513">
      <w:pPr>
        <w:pStyle w:val="2"/>
        <w:rPr>
          <w:rFonts w:hint="eastAsia"/>
        </w:rPr>
      </w:pPr>
    </w:p>
    <w:p w14:paraId="6CF676E0">
      <w:pPr>
        <w:pStyle w:val="3"/>
        <w:bidi w:val="0"/>
        <w:ind w:left="0" w:leftChars="0" w:firstLine="0" w:firstLineChars="0"/>
        <w:jc w:val="center"/>
        <w:rPr>
          <w:rFonts w:hint="eastAsia"/>
          <w:b/>
          <w:bCs/>
        </w:rPr>
      </w:pPr>
      <w:r>
        <w:rPr>
          <w:rFonts w:hint="eastAsia"/>
          <w:b/>
          <w:bCs/>
        </w:rPr>
        <w:t>喜讯 | 我校在中国青年网2023年高校线上公益课活动荣获佳绩！</w:t>
      </w:r>
    </w:p>
    <w:p w14:paraId="3914877E">
      <w:pPr>
        <w:pStyle w:val="3"/>
        <w:bidi w:val="0"/>
        <w:rPr>
          <w:rFonts w:hint="eastAsia"/>
        </w:rPr>
      </w:pPr>
    </w:p>
    <w:p w14:paraId="3E231E54">
      <w:pPr>
        <w:pStyle w:val="3"/>
        <w:bidi w:val="0"/>
        <w:rPr>
          <w:rFonts w:hint="eastAsia"/>
        </w:rPr>
      </w:pPr>
      <w:r>
        <w:rPr>
          <w:rFonts w:hint="eastAsia"/>
        </w:rPr>
        <w:t>近日，在中国文联网络文艺传播中心、中国青年报举办的2023年高校线上公开课活动结果公示。根据各学校组织参与情况，共评选出60个特别支持单位和127名特别支持教师。其中，我校荣获中国青年网线上公开课2023年“特别支持单位”，党委办公室黄白雪老师荣获中国青年网线上公开课2023年“特别支持教师”。</w:t>
      </w:r>
    </w:p>
    <w:p w14:paraId="148BE590">
      <w:pPr>
        <w:pStyle w:val="3"/>
        <w:bidi w:val="0"/>
        <w:ind w:left="0" w:leftChars="0" w:firstLine="0" w:firstLineChars="0"/>
        <w:jc w:val="center"/>
        <w:rPr>
          <w:rFonts w:hint="eastAsia"/>
        </w:rPr>
      </w:pPr>
      <w:r>
        <w:drawing>
          <wp:inline distT="0" distB="0" distL="114300" distR="114300">
            <wp:extent cx="5269230" cy="1910715"/>
            <wp:effectExtent l="0" t="0" r="381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69230" cy="1910715"/>
                    </a:xfrm>
                    <a:prstGeom prst="rect">
                      <a:avLst/>
                    </a:prstGeom>
                    <a:noFill/>
                    <a:ln>
                      <a:noFill/>
                    </a:ln>
                  </pic:spPr>
                </pic:pic>
              </a:graphicData>
            </a:graphic>
          </wp:inline>
        </w:drawing>
      </w:r>
    </w:p>
    <w:p w14:paraId="59C7720C">
      <w:pPr>
        <w:pStyle w:val="2"/>
        <w:ind w:left="0" w:leftChars="0" w:firstLine="0" w:firstLineChars="0"/>
        <w:rPr>
          <w:rFonts w:hint="eastAsia"/>
        </w:rPr>
      </w:pPr>
    </w:p>
    <w:p w14:paraId="2B34DBEA">
      <w:pPr>
        <w:pStyle w:val="2"/>
        <w:ind w:left="0" w:leftChars="0" w:firstLine="0" w:firstLineChars="0"/>
        <w:rPr>
          <w:rFonts w:hint="eastAsia"/>
        </w:rPr>
      </w:pPr>
    </w:p>
    <w:p w14:paraId="00F12428">
      <w:pPr>
        <w:pStyle w:val="3"/>
        <w:bidi w:val="0"/>
        <w:ind w:left="0" w:leftChars="0" w:firstLine="0" w:firstLineChars="0"/>
        <w:jc w:val="center"/>
        <w:rPr>
          <w:rFonts w:hint="eastAsia"/>
          <w:b/>
          <w:bCs/>
        </w:rPr>
      </w:pPr>
    </w:p>
    <w:p w14:paraId="00C9BDBC">
      <w:pPr>
        <w:pStyle w:val="3"/>
        <w:bidi w:val="0"/>
        <w:ind w:left="0" w:leftChars="0" w:firstLine="0" w:firstLineChars="0"/>
        <w:jc w:val="center"/>
        <w:rPr>
          <w:rFonts w:hint="eastAsia"/>
          <w:b/>
          <w:bCs/>
        </w:rPr>
      </w:pPr>
    </w:p>
    <w:p w14:paraId="360C2A44">
      <w:pPr>
        <w:pStyle w:val="3"/>
        <w:bidi w:val="0"/>
        <w:ind w:left="0" w:leftChars="0" w:firstLine="0" w:firstLineChars="0"/>
        <w:jc w:val="center"/>
        <w:rPr>
          <w:rFonts w:hint="eastAsia"/>
          <w:b/>
          <w:bCs/>
        </w:rPr>
      </w:pPr>
      <w:r>
        <w:rPr>
          <w:rFonts w:hint="eastAsia"/>
          <w:b/>
          <w:bCs/>
        </w:rPr>
        <w:t>喜报｜我校“小太阳·追光社会实践服务队”入选团中央2024年“七彩假期”全国志愿服务示范团队</w:t>
      </w:r>
    </w:p>
    <w:p w14:paraId="07202543">
      <w:pPr>
        <w:pStyle w:val="3"/>
        <w:bidi w:val="0"/>
        <w:rPr>
          <w:rFonts w:hint="eastAsia"/>
        </w:rPr>
      </w:pPr>
    </w:p>
    <w:p w14:paraId="3227DC42">
      <w:pPr>
        <w:pStyle w:val="3"/>
        <w:bidi w:val="0"/>
      </w:pPr>
      <w:r>
        <w:rPr>
          <w:rFonts w:hint="eastAsia"/>
        </w:rPr>
        <w:t>为深入学习宣传贯彻习近平新时代中国特色社会主义思想和党的二十大精神，切实加强对农村留守儿童、寄宿儿童、困境儿童等少年儿童群体的关心关爱，组织动员青年志愿者以实际行动投身中国式现代化建设，团中央青年志愿者行动指导中心、中国青年志愿者协会秘书处发布了《关于遴选2024年关爱行动“七彩假期”志愿服务团的公告》。活动得到了各高校青年志愿服务团队的广泛关注和积极参与，1167所高校的6334支青年志愿服务团队提交了申报材料。福建共有厦门大学、福州大学等29所高校、34支志愿服务团队入选。我校青年志愿者协会“小太阳·追光社会实践服务队”成功入选2024年关爱行动“七彩假期”志愿服务团。</w:t>
      </w:r>
    </w:p>
    <w:p w14:paraId="197F086A">
      <w:pPr>
        <w:pStyle w:val="3"/>
        <w:bidi w:val="0"/>
        <w:ind w:left="0" w:leftChars="0" w:firstLine="0" w:firstLineChars="0"/>
        <w:jc w:val="center"/>
        <w:rPr>
          <w:rFonts w:hint="eastAsia"/>
        </w:rPr>
      </w:pPr>
    </w:p>
    <w:p w14:paraId="7852761C">
      <w:pPr>
        <w:pStyle w:val="3"/>
        <w:bidi w:val="0"/>
        <w:ind w:left="0" w:leftChars="0" w:firstLine="0" w:firstLineChars="0"/>
        <w:jc w:val="center"/>
        <w:rPr>
          <w:rFonts w:hint="eastAsia"/>
        </w:rPr>
      </w:pPr>
      <w:bookmarkStart w:id="0" w:name="_GoBack"/>
      <w:bookmarkEnd w:id="0"/>
      <w:r>
        <w:rPr>
          <w:rFonts w:hint="eastAsia"/>
        </w:rPr>
        <w:t>2024年关爱行动“七彩假期”</w:t>
      </w:r>
    </w:p>
    <w:p w14:paraId="6071D237">
      <w:pPr>
        <w:pStyle w:val="3"/>
        <w:bidi w:val="0"/>
        <w:ind w:left="0" w:leftChars="0" w:firstLine="0" w:firstLineChars="0"/>
        <w:jc w:val="center"/>
        <w:rPr>
          <w:rFonts w:hint="eastAsia"/>
        </w:rPr>
      </w:pPr>
      <w:r>
        <w:rPr>
          <w:rFonts w:hint="eastAsia"/>
        </w:rPr>
        <w:t>志愿服务团</w:t>
      </w:r>
    </w:p>
    <w:p w14:paraId="055A3156">
      <w:pPr>
        <w:pStyle w:val="3"/>
        <w:bidi w:val="0"/>
        <w:ind w:left="0" w:leftChars="0" w:firstLine="0" w:firstLineChars="0"/>
        <w:jc w:val="center"/>
        <w:rPr>
          <w:rFonts w:hint="eastAsia"/>
        </w:rPr>
      </w:pPr>
      <w:r>
        <w:rPr>
          <w:rFonts w:hint="eastAsia"/>
        </w:rPr>
        <w:t>福建入选团队名单</w:t>
      </w:r>
    </w:p>
    <w:p w14:paraId="622BFAE4">
      <w:pPr>
        <w:pStyle w:val="3"/>
        <w:bidi w:val="0"/>
        <w:ind w:left="0" w:leftChars="0" w:firstLine="0" w:firstLineChars="0"/>
        <w:jc w:val="center"/>
        <w:rPr>
          <w:rFonts w:hint="eastAsia"/>
        </w:rPr>
      </w:pPr>
      <w:r>
        <w:rPr>
          <w:rFonts w:hint="eastAsia"/>
        </w:rPr>
        <w:t>（排名不分先后）</w:t>
      </w:r>
    </w:p>
    <w:p w14:paraId="6AB3200A">
      <w:pPr>
        <w:pStyle w:val="3"/>
        <w:bidi w:val="0"/>
        <w:rPr>
          <w:rFonts w:hint="eastAsia"/>
        </w:rPr>
      </w:pPr>
    </w:p>
    <w:p w14:paraId="6FCBCDE5">
      <w:pPr>
        <w:pStyle w:val="3"/>
        <w:bidi w:val="0"/>
        <w:rPr>
          <w:rFonts w:hint="eastAsia"/>
        </w:rPr>
      </w:pPr>
      <w:r>
        <w:rPr>
          <w:rFonts w:hint="eastAsia"/>
        </w:rPr>
        <w:drawing>
          <wp:inline distT="0" distB="0" distL="114300" distR="114300">
            <wp:extent cx="4319905" cy="4729480"/>
            <wp:effectExtent l="0" t="0" r="8255" b="10160"/>
            <wp:docPr id="10"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png"/>
                    <pic:cNvPicPr>
                      <a:picLocks noChangeAspect="1"/>
                    </pic:cNvPicPr>
                  </pic:nvPicPr>
                  <pic:blipFill>
                    <a:blip r:embed="rId8"/>
                    <a:stretch>
                      <a:fillRect/>
                    </a:stretch>
                  </pic:blipFill>
                  <pic:spPr>
                    <a:xfrm>
                      <a:off x="0" y="0"/>
                      <a:ext cx="4319905" cy="4729480"/>
                    </a:xfrm>
                    <a:prstGeom prst="rect">
                      <a:avLst/>
                    </a:prstGeom>
                    <a:noFill/>
                    <a:ln w="9525">
                      <a:noFill/>
                    </a:ln>
                  </pic:spPr>
                </pic:pic>
              </a:graphicData>
            </a:graphic>
          </wp:inline>
        </w:drawing>
      </w:r>
    </w:p>
    <w:p w14:paraId="72630BF1">
      <w:pPr>
        <w:pStyle w:val="3"/>
        <w:bidi w:val="0"/>
        <w:rPr>
          <w:rFonts w:hint="eastAsia"/>
        </w:rPr>
      </w:pPr>
      <w:r>
        <w:rPr>
          <w:rFonts w:hint="eastAsia"/>
        </w:rPr>
        <w:drawing>
          <wp:inline distT="0" distB="0" distL="114300" distR="114300">
            <wp:extent cx="4319905" cy="639445"/>
            <wp:effectExtent l="0" t="0" r="8255" b="635"/>
            <wp:docPr id="11"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2.png"/>
                    <pic:cNvPicPr>
                      <a:picLocks noChangeAspect="1"/>
                    </pic:cNvPicPr>
                  </pic:nvPicPr>
                  <pic:blipFill>
                    <a:blip r:embed="rId9"/>
                    <a:stretch>
                      <a:fillRect/>
                    </a:stretch>
                  </pic:blipFill>
                  <pic:spPr>
                    <a:xfrm>
                      <a:off x="0" y="0"/>
                      <a:ext cx="4319905" cy="639445"/>
                    </a:xfrm>
                    <a:prstGeom prst="rect">
                      <a:avLst/>
                    </a:prstGeom>
                    <a:noFill/>
                    <a:ln w="9525">
                      <a:noFill/>
                    </a:ln>
                  </pic:spPr>
                </pic:pic>
              </a:graphicData>
            </a:graphic>
          </wp:inline>
        </w:drawing>
      </w:r>
    </w:p>
    <w:p w14:paraId="4D3D52FA">
      <w:pPr>
        <w:pStyle w:val="3"/>
        <w:bidi w:val="0"/>
        <w:rPr>
          <w:rFonts w:hint="eastAsia"/>
        </w:rPr>
      </w:pPr>
      <w:r>
        <w:rPr>
          <w:rFonts w:hint="eastAsia"/>
        </w:rPr>
        <w:t>接下来，我校青年志愿者协会将继续开展关爱儿童志愿服务活动，充分按照团中央“七彩假期”志愿服务的相关要求，围绕思想引领、文化传承、红色教育、科技创新承等内容，切实加强对农村留守儿童、寄宿儿童、困境儿童等少年儿童群体的关心关爱，落实服务计划，认真准备服务内容，精心设计服务形式，扎实开展好“七彩假期”志愿服务，为青少年儿童铸就七彩假期，放飞青春梦想！</w:t>
      </w:r>
    </w:p>
    <w:p w14:paraId="4EBB33A6">
      <w:pPr>
        <w:rPr>
          <w:rFonts w:hint="eastAsia"/>
        </w:rPr>
      </w:pPr>
    </w:p>
    <w:p w14:paraId="359DAF39">
      <w:pPr>
        <w:pStyle w:val="2"/>
        <w:rPr>
          <w:rFonts w:hint="eastAsia"/>
        </w:rPr>
      </w:pPr>
    </w:p>
    <w:p w14:paraId="66AF6C1F">
      <w:pPr>
        <w:pStyle w:val="3"/>
        <w:bidi w:val="0"/>
        <w:ind w:left="0" w:leftChars="0" w:firstLine="0" w:firstLineChars="0"/>
        <w:rPr>
          <w:rFonts w:hint="eastAsia"/>
        </w:rPr>
      </w:pPr>
    </w:p>
    <w:p w14:paraId="7C04CA78">
      <w:pPr>
        <w:pStyle w:val="3"/>
        <w:bidi w:val="0"/>
        <w:ind w:left="0" w:leftChars="0" w:firstLine="0" w:firstLineChars="0"/>
        <w:jc w:val="center"/>
        <w:rPr>
          <w:rFonts w:hint="eastAsia"/>
          <w:b/>
          <w:bCs/>
        </w:rPr>
      </w:pPr>
      <w:r>
        <w:rPr>
          <w:rFonts w:hint="eastAsia"/>
          <w:b/>
          <w:bCs/>
        </w:rPr>
        <w:t>喜讯 | 祝贺我校智能产业学院首篇SCI文章发表！</w:t>
      </w:r>
    </w:p>
    <w:p w14:paraId="5014076C">
      <w:pPr>
        <w:pStyle w:val="3"/>
        <w:bidi w:val="0"/>
        <w:rPr>
          <w:rFonts w:hint="eastAsia"/>
        </w:rPr>
      </w:pPr>
    </w:p>
    <w:p w14:paraId="663DA865">
      <w:pPr>
        <w:pStyle w:val="3"/>
        <w:bidi w:val="0"/>
      </w:pPr>
      <w:r>
        <w:rPr>
          <w:rFonts w:hint="eastAsia"/>
          <w:lang w:val="en-US" w:eastAsia="zh-CN"/>
        </w:rPr>
        <w:t>6月12日，我校智能产业学院教师凌煜林的科研成果：NIoBReTH:A novel integrative paradigm of protection against SARS-CoV-2 and other airborne pathogens with fewer socioeconomic constraints（《NIoBReTH：在社会经济因素制约较少的情况下预防 SARS-CoV-2 和其他空气传播病原体的新型综合范例》）在国际著名学术期刊Medical Hypotheses（《医学假设》）上发表。这是我校首次在SCI（论文引文索引）索引期刊上发表论文，标志着我校在学术研究领域取得重要进展。</w:t>
      </w:r>
    </w:p>
    <w:p w14:paraId="0DA45AA3">
      <w:pPr>
        <w:pStyle w:val="3"/>
        <w:bidi w:val="0"/>
        <w:rPr>
          <w:rFonts w:hint="eastAsia"/>
        </w:rPr>
      </w:pPr>
      <w:r>
        <w:rPr>
          <w:rFonts w:hint="eastAsia"/>
          <w:lang w:val="en-US" w:eastAsia="zh-CN"/>
        </w:rPr>
        <w:drawing>
          <wp:inline distT="0" distB="0" distL="114300" distR="114300">
            <wp:extent cx="4319905" cy="2626360"/>
            <wp:effectExtent l="0" t="0" r="8255" b="10160"/>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10"/>
                    <a:stretch>
                      <a:fillRect/>
                    </a:stretch>
                  </pic:blipFill>
                  <pic:spPr>
                    <a:xfrm>
                      <a:off x="0" y="0"/>
                      <a:ext cx="4319905" cy="2626360"/>
                    </a:xfrm>
                    <a:prstGeom prst="rect">
                      <a:avLst/>
                    </a:prstGeom>
                    <a:noFill/>
                    <a:ln w="9525">
                      <a:noFill/>
                    </a:ln>
                  </pic:spPr>
                </pic:pic>
              </a:graphicData>
            </a:graphic>
          </wp:inline>
        </w:drawing>
      </w:r>
    </w:p>
    <w:p w14:paraId="6077A717">
      <w:pPr>
        <w:pStyle w:val="3"/>
        <w:bidi w:val="0"/>
        <w:ind w:left="0" w:leftChars="0" w:firstLine="0" w:firstLineChars="0"/>
        <w:jc w:val="center"/>
        <w:rPr>
          <w:rFonts w:hint="eastAsia"/>
        </w:rPr>
      </w:pPr>
      <w:r>
        <w:rPr>
          <w:rFonts w:hint="eastAsia"/>
          <w:lang w:val="en-US" w:eastAsia="zh-CN"/>
        </w:rPr>
        <w:t>（论文发表网站界面）</w:t>
      </w:r>
    </w:p>
    <w:p w14:paraId="7398BE07">
      <w:pPr>
        <w:pStyle w:val="3"/>
        <w:bidi w:val="0"/>
        <w:rPr>
          <w:rFonts w:hint="eastAsia"/>
        </w:rPr>
      </w:pPr>
      <w:r>
        <w:rPr>
          <w:rFonts w:hint="eastAsia"/>
        </w:rPr>
        <w:t>该研究创新性地提出NIoBReTH这一新型综合防护措施，NIoBReTH是Negative air Ions（负离子）、virus Blockage（病毒阻断）、Respiratory Treatment with disinfectants（呼吸道消毒剂治疗）和Hand hygiene（手部卫生）的缩写。这一措施提供与传统防护措施（如N95口罩和保持社交距离）相似的保护效果，并且NIoBReTH所需的产品简单易得，其成本接近甚至低于传统防护措施，具有更高的安全性和对社会经济活动限制更少的特点。</w:t>
      </w:r>
    </w:p>
    <w:p w14:paraId="229CEB7C">
      <w:pPr>
        <w:pStyle w:val="3"/>
        <w:bidi w:val="0"/>
        <w:rPr>
          <w:rFonts w:hint="eastAsia"/>
        </w:rPr>
      </w:pPr>
      <w:r>
        <w:rPr>
          <w:rFonts w:hint="eastAsia"/>
          <w:lang w:val="en-US" w:eastAsia="zh-CN"/>
        </w:rPr>
        <w:drawing>
          <wp:inline distT="0" distB="0" distL="114300" distR="114300">
            <wp:extent cx="4319905" cy="4345940"/>
            <wp:effectExtent l="0" t="0" r="8255" b="12700"/>
            <wp:docPr id="12"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7"/>
                    <pic:cNvPicPr>
                      <a:picLocks noChangeAspect="1"/>
                    </pic:cNvPicPr>
                  </pic:nvPicPr>
                  <pic:blipFill>
                    <a:blip r:embed="rId11"/>
                    <a:stretch>
                      <a:fillRect/>
                    </a:stretch>
                  </pic:blipFill>
                  <pic:spPr>
                    <a:xfrm>
                      <a:off x="0" y="0"/>
                      <a:ext cx="4319905" cy="4345940"/>
                    </a:xfrm>
                    <a:prstGeom prst="rect">
                      <a:avLst/>
                    </a:prstGeom>
                    <a:noFill/>
                    <a:ln w="9525">
                      <a:noFill/>
                    </a:ln>
                  </pic:spPr>
                </pic:pic>
              </a:graphicData>
            </a:graphic>
          </wp:inline>
        </w:drawing>
      </w:r>
    </w:p>
    <w:p w14:paraId="41FF08C0">
      <w:pPr>
        <w:pStyle w:val="3"/>
        <w:bidi w:val="0"/>
        <w:ind w:left="0" w:leftChars="0" w:firstLine="0" w:firstLineChars="0"/>
        <w:jc w:val="center"/>
        <w:rPr>
          <w:rFonts w:hint="eastAsia"/>
        </w:rPr>
      </w:pPr>
      <w:r>
        <w:rPr>
          <w:rFonts w:hint="eastAsia"/>
          <w:lang w:val="en-US" w:eastAsia="zh-CN"/>
        </w:rPr>
        <w:t>（NIoBReTH示意图）</w:t>
      </w:r>
    </w:p>
    <w:p w14:paraId="073FE550">
      <w:pPr>
        <w:pStyle w:val="3"/>
        <w:bidi w:val="0"/>
        <w:rPr>
          <w:rFonts w:hint="eastAsia"/>
        </w:rPr>
      </w:pPr>
      <w:r>
        <w:rPr>
          <w:rFonts w:hint="eastAsia"/>
          <w:lang w:val="en-US" w:eastAsia="zh-CN"/>
        </w:rPr>
        <w:t>Medical Hypotheses创刊于1975年，由CHURCHILL LIVINGSTONE出版，专注于发表医学领域的新理论、新假设和新概念，旨在打造一种学术水平高、可读性强、具有全球影响力的学术期刊。该研究的发表对持续提升我校的国际学术影响力具有积极作用。</w:t>
      </w:r>
    </w:p>
    <w:p w14:paraId="07697019">
      <w:pPr>
        <w:pStyle w:val="3"/>
        <w:bidi w:val="0"/>
        <w:rPr>
          <w:rFonts w:hint="eastAsia"/>
        </w:rPr>
      </w:pPr>
      <w:r>
        <w:rPr>
          <w:rFonts w:hint="eastAsia"/>
          <w:lang w:val="en-US" w:eastAsia="zh-CN"/>
        </w:rPr>
        <w:t>论文链接地址：</w:t>
      </w:r>
      <w:r>
        <w:rPr>
          <w:rFonts w:hint="eastAsia"/>
          <w:lang w:val="en-US" w:eastAsia="zh-CN"/>
        </w:rPr>
        <w:fldChar w:fldCharType="begin"/>
      </w:r>
      <w:r>
        <w:rPr>
          <w:rFonts w:hint="eastAsia"/>
          <w:lang w:val="en-US" w:eastAsia="zh-CN"/>
        </w:rPr>
        <w:instrText xml:space="preserve"> HYPERLINK "https://doi.org/10.1016/j.mehy.2024.111406" \t "https://www.fzrjxy.com/_blank" </w:instrText>
      </w:r>
      <w:r>
        <w:rPr>
          <w:rFonts w:hint="eastAsia"/>
          <w:lang w:val="en-US" w:eastAsia="zh-CN"/>
        </w:rPr>
        <w:fldChar w:fldCharType="separate"/>
      </w:r>
      <w:r>
        <w:rPr>
          <w:rStyle w:val="10"/>
          <w:rFonts w:hint="eastAsia" w:ascii="微软雅黑" w:hAnsi="微软雅黑" w:eastAsia="微软雅黑" w:cs="微软雅黑"/>
          <w:i w:val="0"/>
          <w:iCs w:val="0"/>
          <w:caps w:val="0"/>
          <w:color w:val="000000"/>
          <w:spacing w:val="0"/>
          <w:szCs w:val="21"/>
          <w:u w:val="none"/>
          <w:bdr w:val="none" w:color="auto" w:sz="0" w:space="0"/>
          <w:shd w:val="clear" w:fill="FFFFFF"/>
        </w:rPr>
        <w:t>https://doi.org/10.1016/j.mehy.2024.111406</w:t>
      </w:r>
      <w:r>
        <w:rPr>
          <w:rFonts w:hint="eastAsia"/>
          <w:lang w:val="en-US" w:eastAsia="zh-CN"/>
        </w:rPr>
        <w:fldChar w:fldCharType="end"/>
      </w:r>
    </w:p>
    <w:p w14:paraId="24174AD5">
      <w:pPr>
        <w:pStyle w:val="2"/>
        <w:rPr>
          <w:rFonts w:hint="eastAsia"/>
        </w:rPr>
      </w:pPr>
    </w:p>
    <w:p w14:paraId="7ACBC6B6">
      <w:pPr>
        <w:pStyle w:val="2"/>
        <w:ind w:left="0" w:leftChars="0" w:firstLine="0" w:firstLineChars="0"/>
        <w:rPr>
          <w:rFonts w:hint="eastAsia"/>
          <w:b/>
          <w:bCs/>
        </w:rPr>
      </w:pPr>
    </w:p>
    <w:p w14:paraId="16E11F56">
      <w:pPr>
        <w:pStyle w:val="2"/>
        <w:ind w:left="0" w:leftChars="0" w:firstLine="0" w:firstLineChars="0"/>
        <w:rPr>
          <w:rFonts w:hint="eastAsia"/>
          <w:b/>
          <w:bCs/>
        </w:rPr>
      </w:pPr>
    </w:p>
    <w:p w14:paraId="7C41EF8F">
      <w:pPr>
        <w:pStyle w:val="2"/>
        <w:ind w:left="0" w:leftChars="0" w:firstLine="0" w:firstLineChars="0"/>
        <w:rPr>
          <w:rFonts w:hint="eastAsia"/>
          <w:b/>
          <w:bCs/>
        </w:rPr>
      </w:pPr>
    </w:p>
    <w:p w14:paraId="31FCC9BF">
      <w:pPr>
        <w:pStyle w:val="3"/>
        <w:bidi w:val="0"/>
        <w:ind w:left="0" w:leftChars="0" w:firstLine="0" w:firstLineChars="0"/>
        <w:jc w:val="center"/>
        <w:rPr>
          <w:rFonts w:hint="eastAsia"/>
          <w:b/>
          <w:bCs/>
        </w:rPr>
      </w:pPr>
      <w:r>
        <w:rPr>
          <w:rFonts w:hint="eastAsia"/>
          <w:b/>
          <w:bCs/>
        </w:rPr>
        <w:t>我校举行2024年“青蓝工程”青年教师 说课程大赛</w:t>
      </w:r>
    </w:p>
    <w:p w14:paraId="5E982808">
      <w:pPr>
        <w:pStyle w:val="3"/>
        <w:bidi w:val="0"/>
        <w:rPr>
          <w:rFonts w:hint="eastAsia"/>
        </w:rPr>
      </w:pPr>
    </w:p>
    <w:p w14:paraId="58B03B77">
      <w:pPr>
        <w:pStyle w:val="3"/>
        <w:bidi w:val="0"/>
        <w:rPr>
          <w:rFonts w:hint="eastAsia"/>
        </w:rPr>
      </w:pPr>
      <w:r>
        <w:rPr>
          <w:rFonts w:hint="eastAsia"/>
        </w:rPr>
        <w:t>6月12日，我校隆重举行“青蓝工程”说课程竞赛活动。本次活动旨在深化师徒协作，通过“传、帮、带”引领青年教师进一步提升教育教学技能，助力我校教育教学质量稳步提升。</w:t>
      </w:r>
    </w:p>
    <w:p w14:paraId="5139876B">
      <w:pPr>
        <w:pStyle w:val="3"/>
        <w:bidi w:val="0"/>
        <w:rPr>
          <w:rFonts w:hint="eastAsia"/>
        </w:rPr>
      </w:pPr>
      <w:r>
        <w:rPr>
          <w:rFonts w:hint="eastAsia"/>
        </w:rPr>
        <w:t>本次竞赛的评审工作由副校长王秋宏、副校长林土水以及副校长李运良共同担任，由人力资源部副主任黄爱环主持。</w:t>
      </w:r>
    </w:p>
    <w:p w14:paraId="571319B8">
      <w:pPr>
        <w:pStyle w:val="3"/>
        <w:bidi w:val="0"/>
        <w:jc w:val="center"/>
        <w:rPr>
          <w:rFonts w:hint="eastAsia"/>
        </w:rPr>
      </w:pPr>
      <w:r>
        <w:drawing>
          <wp:inline distT="0" distB="0" distL="114300" distR="114300">
            <wp:extent cx="4319905" cy="2898140"/>
            <wp:effectExtent l="0" t="0" r="8255" b="1270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2"/>
                    <a:stretch>
                      <a:fillRect/>
                    </a:stretch>
                  </pic:blipFill>
                  <pic:spPr>
                    <a:xfrm>
                      <a:off x="0" y="0"/>
                      <a:ext cx="4319905" cy="2898140"/>
                    </a:xfrm>
                    <a:prstGeom prst="rect">
                      <a:avLst/>
                    </a:prstGeom>
                    <a:noFill/>
                    <a:ln>
                      <a:noFill/>
                    </a:ln>
                  </pic:spPr>
                </pic:pic>
              </a:graphicData>
            </a:graphic>
          </wp:inline>
        </w:drawing>
      </w:r>
    </w:p>
    <w:p w14:paraId="3DED4D09">
      <w:pPr>
        <w:pStyle w:val="3"/>
        <w:bidi w:val="0"/>
        <w:rPr>
          <w:rFonts w:hint="eastAsia"/>
        </w:rPr>
      </w:pPr>
      <w:r>
        <w:rPr>
          <w:rFonts w:hint="eastAsia"/>
        </w:rPr>
        <w:t>参加本次决赛的8名青年教师经由所在学院评审推荐，教学质量管理与科研处、教务处共同评议确定。在资深教师的悉心指导下，他们历经严谨的备课与反复磨课，终在竞赛舞台上绽放出师徒智慧交融的璀璨火花。</w:t>
      </w:r>
    </w:p>
    <w:p w14:paraId="2C9571C2">
      <w:pPr>
        <w:pStyle w:val="3"/>
        <w:bidi w:val="0"/>
        <w:rPr>
          <w:rFonts w:hint="eastAsia"/>
        </w:rPr>
      </w:pPr>
      <w:r>
        <w:rPr>
          <w:rFonts w:hint="eastAsia"/>
        </w:rPr>
        <w:t>决赛现场，青年教师们紧扣教学目标，深挖教材精髓，围绕学生学情，匠心独运地设计出既遵循认知规律又富于创新的教学策略。他们灵活运用多元化的教学手法，激活课堂氛围，激发学生潜能，不仅注重知识与技能的传授，更重视情感、态度与价值观的培育，力图在愉悦的互动中实现学生全面发展。</w:t>
      </w:r>
    </w:p>
    <w:p w14:paraId="22F5885E">
      <w:pPr>
        <w:pStyle w:val="3"/>
        <w:bidi w:val="0"/>
        <w:rPr>
          <w:rFonts w:hint="eastAsia"/>
        </w:rPr>
      </w:pPr>
      <w:r>
        <w:drawing>
          <wp:inline distT="0" distB="0" distL="114300" distR="114300">
            <wp:extent cx="4319905" cy="2913380"/>
            <wp:effectExtent l="0" t="0" r="8255" b="1270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3"/>
                    <a:stretch>
                      <a:fillRect/>
                    </a:stretch>
                  </pic:blipFill>
                  <pic:spPr>
                    <a:xfrm>
                      <a:off x="0" y="0"/>
                      <a:ext cx="4319905" cy="2913380"/>
                    </a:xfrm>
                    <a:prstGeom prst="rect">
                      <a:avLst/>
                    </a:prstGeom>
                    <a:noFill/>
                    <a:ln>
                      <a:noFill/>
                    </a:ln>
                  </pic:spPr>
                </pic:pic>
              </a:graphicData>
            </a:graphic>
          </wp:inline>
        </w:drawing>
      </w:r>
    </w:p>
    <w:p w14:paraId="46E23EEA">
      <w:pPr>
        <w:pStyle w:val="3"/>
        <w:bidi w:val="0"/>
        <w:rPr>
          <w:rFonts w:hint="eastAsia"/>
        </w:rPr>
      </w:pPr>
      <w:r>
        <w:rPr>
          <w:rFonts w:hint="eastAsia"/>
        </w:rPr>
        <w:t>（副校长王秋宏为荣获一等奖的参赛选手颁发证书）</w:t>
      </w:r>
    </w:p>
    <w:p w14:paraId="09C3FF3D">
      <w:pPr>
        <w:pStyle w:val="3"/>
        <w:bidi w:val="0"/>
        <w:rPr>
          <w:rFonts w:hint="eastAsia"/>
        </w:rPr>
      </w:pPr>
      <w:r>
        <w:rPr>
          <w:rFonts w:hint="eastAsia"/>
        </w:rPr>
        <w:t>智能产业学院的林雅芬老师凭借卓越表现荣膺桂冠，其余参赛者同样赢得了评审团的高度赞誉，展现了青年教师在教学艺术上的广度与深度。评审团的精辟点评与建设性反馈，为青年教师指明了成长路径，鼓励他们在教学实践中不断探索与完善。</w:t>
      </w:r>
    </w:p>
    <w:p w14:paraId="7E1B8796">
      <w:pPr>
        <w:pStyle w:val="3"/>
        <w:bidi w:val="0"/>
      </w:pPr>
      <w:r>
        <w:drawing>
          <wp:inline distT="0" distB="0" distL="114300" distR="114300">
            <wp:extent cx="4319905" cy="2918460"/>
            <wp:effectExtent l="0" t="0" r="8255" b="762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4"/>
                    <a:stretch>
                      <a:fillRect/>
                    </a:stretch>
                  </pic:blipFill>
                  <pic:spPr>
                    <a:xfrm>
                      <a:off x="0" y="0"/>
                      <a:ext cx="4319905" cy="2918460"/>
                    </a:xfrm>
                    <a:prstGeom prst="rect">
                      <a:avLst/>
                    </a:prstGeom>
                    <a:noFill/>
                    <a:ln>
                      <a:noFill/>
                    </a:ln>
                  </pic:spPr>
                </pic:pic>
              </a:graphicData>
            </a:graphic>
          </wp:inline>
        </w:drawing>
      </w:r>
    </w:p>
    <w:p w14:paraId="318DE413">
      <w:pPr>
        <w:pStyle w:val="3"/>
        <w:bidi w:val="0"/>
        <w:ind w:left="0" w:leftChars="0" w:firstLine="0" w:firstLineChars="0"/>
        <w:jc w:val="center"/>
        <w:rPr>
          <w:rFonts w:hint="eastAsia"/>
        </w:rPr>
      </w:pPr>
      <w:r>
        <w:rPr>
          <w:rFonts w:hint="eastAsia"/>
        </w:rPr>
        <w:t>（副校长林土水为荣获二等奖的参赛选手颁发证书）</w:t>
      </w:r>
    </w:p>
    <w:p w14:paraId="489CF2E7">
      <w:pPr>
        <w:pStyle w:val="3"/>
        <w:bidi w:val="0"/>
        <w:rPr>
          <w:rFonts w:hint="eastAsia"/>
        </w:rPr>
      </w:pPr>
      <w:r>
        <w:drawing>
          <wp:inline distT="0" distB="0" distL="114300" distR="114300">
            <wp:extent cx="4319905" cy="2874645"/>
            <wp:effectExtent l="0" t="0" r="8255" b="571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5"/>
                    <a:stretch>
                      <a:fillRect/>
                    </a:stretch>
                  </pic:blipFill>
                  <pic:spPr>
                    <a:xfrm>
                      <a:off x="0" y="0"/>
                      <a:ext cx="4319905" cy="2874645"/>
                    </a:xfrm>
                    <a:prstGeom prst="rect">
                      <a:avLst/>
                    </a:prstGeom>
                    <a:noFill/>
                    <a:ln>
                      <a:noFill/>
                    </a:ln>
                  </pic:spPr>
                </pic:pic>
              </a:graphicData>
            </a:graphic>
          </wp:inline>
        </w:drawing>
      </w:r>
    </w:p>
    <w:p w14:paraId="383157CE">
      <w:pPr>
        <w:pStyle w:val="3"/>
        <w:bidi w:val="0"/>
        <w:ind w:left="0" w:leftChars="0" w:firstLine="0" w:firstLineChars="0"/>
        <w:jc w:val="center"/>
        <w:rPr>
          <w:rFonts w:hint="eastAsia"/>
        </w:rPr>
      </w:pPr>
      <w:r>
        <w:rPr>
          <w:rFonts w:hint="eastAsia"/>
        </w:rPr>
        <w:t>（副校长李运良为荣获三等奖的参赛选手颁发证书）</w:t>
      </w:r>
    </w:p>
    <w:p w14:paraId="20ABB30F">
      <w:pPr>
        <w:pStyle w:val="3"/>
        <w:bidi w:val="0"/>
        <w:rPr>
          <w:rFonts w:hint="eastAsia"/>
        </w:rPr>
      </w:pPr>
      <w:r>
        <w:drawing>
          <wp:inline distT="0" distB="0" distL="114300" distR="114300">
            <wp:extent cx="4319905" cy="2900680"/>
            <wp:effectExtent l="0" t="0" r="8255" b="1016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6"/>
                    <a:stretch>
                      <a:fillRect/>
                    </a:stretch>
                  </pic:blipFill>
                  <pic:spPr>
                    <a:xfrm>
                      <a:off x="0" y="0"/>
                      <a:ext cx="4319905" cy="2900680"/>
                    </a:xfrm>
                    <a:prstGeom prst="rect">
                      <a:avLst/>
                    </a:prstGeom>
                    <a:noFill/>
                    <a:ln>
                      <a:noFill/>
                    </a:ln>
                  </pic:spPr>
                </pic:pic>
              </a:graphicData>
            </a:graphic>
          </wp:inline>
        </w:drawing>
      </w:r>
    </w:p>
    <w:p w14:paraId="505FDAAC">
      <w:pPr>
        <w:pStyle w:val="3"/>
        <w:bidi w:val="0"/>
        <w:rPr>
          <w:rFonts w:hint="eastAsia"/>
        </w:rPr>
      </w:pPr>
      <w:r>
        <w:rPr>
          <w:rFonts w:hint="eastAsia"/>
        </w:rPr>
        <w:t>（教务处副处长周荣芳为荣获优秀奖的参赛选手颁发证书）</w:t>
      </w:r>
    </w:p>
    <w:p w14:paraId="15C90364">
      <w:pPr>
        <w:pStyle w:val="3"/>
        <w:bidi w:val="0"/>
        <w:rPr>
          <w:rFonts w:hint="eastAsia"/>
        </w:rPr>
      </w:pPr>
      <w:r>
        <w:rPr>
          <w:rFonts w:hint="eastAsia"/>
        </w:rPr>
        <w:t>此番“青蓝工程”说课程竞赛的顺利举行，不仅是对我校青年教师风采的一次集中展示，更是为学校教育教学实践引入了鲜活动力。我们深信，在师徒传承的桥梁上，我校教育教学质量将持续攀升，为社会输送更多高素质技术技能型人才。</w:t>
      </w:r>
    </w:p>
    <w:p w14:paraId="77C6073C">
      <w:pPr>
        <w:pStyle w:val="3"/>
        <w:bidi w:val="0"/>
        <w:rPr>
          <w:rFonts w:hint="eastAsia"/>
        </w:rPr>
      </w:pPr>
    </w:p>
    <w:p w14:paraId="68611F3C">
      <w:pPr>
        <w:pStyle w:val="3"/>
        <w:bidi w:val="0"/>
        <w:rPr>
          <w:rFonts w:hint="eastAsia"/>
        </w:rPr>
      </w:pPr>
      <w:r>
        <w:rPr>
          <w:rFonts w:hint="eastAsia"/>
        </w:rPr>
        <w:t>面向未来，我们满怀期待，寄望于“青蓝工程”能成为更多青年教师成长的加速器，激励他们在教育的征途上勇攀高峰。同时，学校将以本次竞赛为新的起点，进一步优化“青蓝工程”，拓宽其影响力，促使教师团队整体教学能力迈向新高，共同绘制福州软件职业技术学院更加辉煌的教育未来。</w:t>
      </w:r>
    </w:p>
    <w:p w14:paraId="13704CDC">
      <w:pPr>
        <w:rPr>
          <w:rFonts w:hint="eastAsia"/>
        </w:rPr>
      </w:pPr>
    </w:p>
    <w:p w14:paraId="3AB70BBA">
      <w:pPr>
        <w:pStyle w:val="2"/>
        <w:rPr>
          <w:rFonts w:hint="eastAsia"/>
        </w:rPr>
      </w:pPr>
    </w:p>
    <w:p w14:paraId="22E458BD">
      <w:pPr>
        <w:pStyle w:val="3"/>
        <w:bidi w:val="0"/>
        <w:ind w:left="0" w:leftChars="0" w:firstLine="0" w:firstLineChars="0"/>
        <w:jc w:val="center"/>
        <w:rPr>
          <w:rFonts w:hint="eastAsia"/>
          <w:b/>
          <w:bCs/>
        </w:rPr>
      </w:pPr>
      <w:r>
        <w:rPr>
          <w:rFonts w:hint="eastAsia"/>
          <w:b/>
          <w:bCs/>
        </w:rPr>
        <w:t>喜讯丨我校游戏产业学院师生团队荣获全国3D大赛16周年精英联赛专项赛省赛华南赛区一等奖并晋级全国赛</w:t>
      </w:r>
    </w:p>
    <w:p w14:paraId="39E66A6C">
      <w:pPr>
        <w:rPr>
          <w:rFonts w:hint="eastAsia"/>
        </w:rPr>
      </w:pPr>
    </w:p>
    <w:p w14:paraId="7377F494">
      <w:pPr>
        <w:pStyle w:val="3"/>
        <w:bidi w:val="0"/>
        <w:rPr>
          <w:rFonts w:hint="eastAsia"/>
        </w:rPr>
      </w:pPr>
      <w:r>
        <w:rPr>
          <w:rFonts w:hint="eastAsia"/>
        </w:rPr>
        <w:t>近日，全国3D大赛16周年精英联赛（2023-2024）虚拟场景创作与虚拟仿真（动画/虚拟制片/数字人直播方向）专项赛省赛华南赛区中，我校游戏产业学院师生团队荣获一等奖2项，成功晋级全国赛。</w:t>
      </w:r>
    </w:p>
    <w:p w14:paraId="3E5914D9">
      <w:pPr>
        <w:pStyle w:val="3"/>
        <w:bidi w:val="0"/>
        <w:ind w:left="0" w:leftChars="0" w:firstLine="0" w:firstLineChars="0"/>
        <w:jc w:val="center"/>
        <w:rPr>
          <w:rFonts w:hint="eastAsia"/>
        </w:rPr>
      </w:pPr>
      <w:r>
        <w:drawing>
          <wp:inline distT="0" distB="0" distL="114300" distR="114300">
            <wp:extent cx="4319905" cy="4921885"/>
            <wp:effectExtent l="0" t="0" r="8255" b="63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17"/>
                    <a:stretch>
                      <a:fillRect/>
                    </a:stretch>
                  </pic:blipFill>
                  <pic:spPr>
                    <a:xfrm>
                      <a:off x="0" y="0"/>
                      <a:ext cx="4319905" cy="4921885"/>
                    </a:xfrm>
                    <a:prstGeom prst="rect">
                      <a:avLst/>
                    </a:prstGeom>
                    <a:noFill/>
                    <a:ln>
                      <a:noFill/>
                    </a:ln>
                  </pic:spPr>
                </pic:pic>
              </a:graphicData>
            </a:graphic>
          </wp:inline>
        </w:drawing>
      </w:r>
    </w:p>
    <w:p w14:paraId="03C48847">
      <w:pPr>
        <w:pStyle w:val="3"/>
        <w:bidi w:val="0"/>
        <w:ind w:left="0" w:leftChars="0" w:firstLine="0" w:firstLineChars="0"/>
        <w:jc w:val="center"/>
        <w:rPr>
          <w:rFonts w:hint="eastAsia"/>
        </w:rPr>
      </w:pPr>
      <w:r>
        <w:drawing>
          <wp:inline distT="0" distB="0" distL="114300" distR="114300">
            <wp:extent cx="4319905" cy="2823845"/>
            <wp:effectExtent l="0" t="0" r="8255" b="1079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18"/>
                    <a:stretch>
                      <a:fillRect/>
                    </a:stretch>
                  </pic:blipFill>
                  <pic:spPr>
                    <a:xfrm>
                      <a:off x="0" y="0"/>
                      <a:ext cx="4319905" cy="2823845"/>
                    </a:xfrm>
                    <a:prstGeom prst="rect">
                      <a:avLst/>
                    </a:prstGeom>
                    <a:noFill/>
                    <a:ln>
                      <a:noFill/>
                    </a:ln>
                  </pic:spPr>
                </pic:pic>
              </a:graphicData>
            </a:graphic>
          </wp:inline>
        </w:drawing>
      </w:r>
    </w:p>
    <w:p w14:paraId="7050FE92">
      <w:pPr>
        <w:pStyle w:val="3"/>
        <w:bidi w:val="0"/>
        <w:ind w:left="0" w:leftChars="0" w:firstLine="0" w:firstLineChars="0"/>
        <w:jc w:val="center"/>
        <w:rPr>
          <w:rFonts w:hint="eastAsia"/>
        </w:rPr>
      </w:pPr>
      <w:r>
        <w:rPr>
          <w:rFonts w:hint="eastAsia"/>
        </w:rPr>
        <w:t>师生队伍进行备赛实战训练</w:t>
      </w:r>
    </w:p>
    <w:p w14:paraId="56093EC7">
      <w:pPr>
        <w:pStyle w:val="3"/>
        <w:bidi w:val="0"/>
        <w:ind w:left="0" w:leftChars="0" w:firstLine="560" w:firstLineChars="200"/>
        <w:rPr>
          <w:rFonts w:hint="eastAsia"/>
        </w:rPr>
      </w:pPr>
      <w:r>
        <w:rPr>
          <w:rFonts w:hint="eastAsia"/>
        </w:rPr>
        <w:t>赛前备赛环节中，我校游戏产业学院师生团队展现出极高的学习热情和探索精神。他们积极参与各项模拟训练，巩固各项数字动画的核心技能，以不懈努力赢得一等奖的殊荣。师生团队将保持良好的精神风貌，全力以赴，迎接更高层次的全国赛。</w:t>
      </w:r>
    </w:p>
    <w:p w14:paraId="23901BEA">
      <w:pPr>
        <w:pStyle w:val="3"/>
        <w:bidi w:val="0"/>
        <w:rPr>
          <w:rFonts w:hint="eastAsia"/>
        </w:rPr>
      </w:pPr>
      <w:r>
        <w:rPr>
          <w:rFonts w:hint="eastAsia"/>
        </w:rPr>
        <w:t>我校将以本次比赛获奖为契机，提升技术技能人才培养质量，弘扬工匠精神，积极选派师生赛事实践活动，贯彻“以赛促教、以赛促学、赛教融合”的方针，助力学生更好地了解行业制作规范，不断推进人才培养模式创新发展、专业建设与教育教学改革，培育更多高素质高技能的应用型人才。</w:t>
      </w:r>
    </w:p>
    <w:p w14:paraId="50F6B25C">
      <w:pPr>
        <w:rPr>
          <w:rFonts w:hint="eastAsia"/>
        </w:rPr>
      </w:pPr>
    </w:p>
    <w:p w14:paraId="4BC447D4">
      <w:pPr>
        <w:pStyle w:val="2"/>
        <w:rPr>
          <w:rFonts w:hint="eastAsia"/>
        </w:rPr>
      </w:pPr>
    </w:p>
    <w:p w14:paraId="25D6A26A">
      <w:pPr>
        <w:pStyle w:val="3"/>
        <w:bidi w:val="0"/>
        <w:ind w:left="0" w:leftChars="0" w:firstLine="0" w:firstLineChars="0"/>
        <w:jc w:val="center"/>
        <w:rPr>
          <w:rFonts w:hint="eastAsia"/>
          <w:b/>
          <w:bCs/>
        </w:rPr>
      </w:pPr>
      <w:r>
        <w:rPr>
          <w:rFonts w:hint="eastAsia"/>
          <w:b/>
          <w:bCs/>
        </w:rPr>
        <w:t>喜讯 | 我校艺动先锋队、征兵工作站2支团队入选2024年第一批“青春燃·志愿蓝”大学生消防志愿服务团队！</w:t>
      </w:r>
    </w:p>
    <w:p w14:paraId="413964CF">
      <w:pPr>
        <w:pStyle w:val="3"/>
        <w:bidi w:val="0"/>
        <w:ind w:left="0" w:leftChars="0" w:firstLine="0" w:firstLineChars="0"/>
        <w:rPr>
          <w:rFonts w:hint="eastAsia"/>
        </w:rPr>
      </w:pPr>
    </w:p>
    <w:p w14:paraId="0AE324FD">
      <w:pPr>
        <w:pStyle w:val="3"/>
        <w:bidi w:val="0"/>
      </w:pPr>
      <w:r>
        <w:rPr>
          <w:rFonts w:hint="eastAsia"/>
        </w:rPr>
        <w:t>我校艺动先锋队、征兵工作站2支团队入选福建省消防救援总队全媒体工作中心、福建省青年志愿者协会消防志愿服务团队2024年第一批“青春燃·志愿蓝”大学生消防志愿服务团队！</w:t>
      </w:r>
    </w:p>
    <w:p w14:paraId="5FE4BBD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12529"/>
          <w:spacing w:val="0"/>
          <w:sz w:val="21"/>
          <w:szCs w:val="21"/>
        </w:rPr>
      </w:pPr>
      <w:r>
        <w:rPr>
          <w:rFonts w:hint="eastAsia" w:ascii="微软雅黑" w:hAnsi="微软雅黑" w:eastAsia="微软雅黑" w:cs="微软雅黑"/>
          <w:i w:val="0"/>
          <w:iCs w:val="0"/>
          <w:caps w:val="0"/>
          <w:color w:val="212529"/>
          <w:spacing w:val="0"/>
          <w:sz w:val="21"/>
          <w:szCs w:val="21"/>
          <w:bdr w:val="none" w:color="auto" w:sz="0" w:space="0"/>
          <w:shd w:val="clear" w:fill="FFFFFF"/>
        </w:rPr>
        <w:drawing>
          <wp:inline distT="0" distB="0" distL="114300" distR="114300">
            <wp:extent cx="4319905" cy="2755900"/>
            <wp:effectExtent l="0" t="0" r="8255" b="2540"/>
            <wp:docPr id="30"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IMG_256"/>
                    <pic:cNvPicPr>
                      <a:picLocks noChangeAspect="1"/>
                    </pic:cNvPicPr>
                  </pic:nvPicPr>
                  <pic:blipFill>
                    <a:blip r:embed="rId19"/>
                    <a:stretch>
                      <a:fillRect/>
                    </a:stretch>
                  </pic:blipFill>
                  <pic:spPr>
                    <a:xfrm>
                      <a:off x="0" y="0"/>
                      <a:ext cx="4319905" cy="2755900"/>
                    </a:xfrm>
                    <a:prstGeom prst="rect">
                      <a:avLst/>
                    </a:prstGeom>
                    <a:noFill/>
                    <a:ln w="9525">
                      <a:noFill/>
                    </a:ln>
                  </pic:spPr>
                </pic:pic>
              </a:graphicData>
            </a:graphic>
          </wp:inline>
        </w:drawing>
      </w:r>
    </w:p>
    <w:p w14:paraId="2A4F4F9E">
      <w:pPr>
        <w:pStyle w:val="3"/>
        <w:bidi w:val="0"/>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598F8"/>
    <w:multiLevelType w:val="singleLevel"/>
    <w:tmpl w:val="834598F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ZTllMjkyMWU2NzIzOWM5ZTY4NTBkYjkxNWEwMWEifQ=="/>
  </w:docVars>
  <w:rsids>
    <w:rsidRoot w:val="00000000"/>
    <w:rsid w:val="06C66228"/>
    <w:rsid w:val="07610E7C"/>
    <w:rsid w:val="0C6618F0"/>
    <w:rsid w:val="15B56EC2"/>
    <w:rsid w:val="1DA04055"/>
    <w:rsid w:val="29AD27B0"/>
    <w:rsid w:val="2A275984"/>
    <w:rsid w:val="2C2D1388"/>
    <w:rsid w:val="2D684463"/>
    <w:rsid w:val="2F7D490D"/>
    <w:rsid w:val="34A97170"/>
    <w:rsid w:val="357B4DE9"/>
    <w:rsid w:val="398B39B3"/>
    <w:rsid w:val="3E613D17"/>
    <w:rsid w:val="478E770C"/>
    <w:rsid w:val="4DCC4029"/>
    <w:rsid w:val="50DF5195"/>
    <w:rsid w:val="52700DBA"/>
    <w:rsid w:val="5AF75DE9"/>
    <w:rsid w:val="5E706CA5"/>
    <w:rsid w:val="5F7B63EF"/>
    <w:rsid w:val="5FAD7C85"/>
    <w:rsid w:val="662415EA"/>
    <w:rsid w:val="686554F2"/>
    <w:rsid w:val="6CB174AE"/>
    <w:rsid w:val="6F7A45C3"/>
    <w:rsid w:val="70251252"/>
    <w:rsid w:val="70825FBE"/>
    <w:rsid w:val="72030BA5"/>
    <w:rsid w:val="723C15B2"/>
    <w:rsid w:val="75295853"/>
    <w:rsid w:val="75940523"/>
    <w:rsid w:val="783D63CB"/>
    <w:rsid w:val="79045877"/>
    <w:rsid w:val="7F4414FC"/>
    <w:rsid w:val="7F812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1446" w:firstLineChars="200"/>
      <w:jc w:val="both"/>
    </w:pPr>
    <w:rPr>
      <w:rFonts w:ascii="Times New Roman" w:hAnsi="Times New Roman" w:eastAsia="宋体" w:cs="Times New Roman"/>
      <w:kern w:val="2"/>
      <w:sz w:val="28"/>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0"/>
    </w:pPr>
    <w:rPr>
      <w:rFonts w:ascii="Times New Roman" w:hAnsi="Times New Roman"/>
      <w:sz w:val="28"/>
      <w:szCs w:val="32"/>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1942</Words>
  <Characters>1956</Characters>
  <Lines>0</Lines>
  <Paragraphs>0</Paragraphs>
  <TotalTime>24</TotalTime>
  <ScaleCrop>false</ScaleCrop>
  <LinksUpToDate>false</LinksUpToDate>
  <CharactersWithSpaces>1960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2023-11-20T03:41:00Z</dcterms:created>
  <dc:creator>16273</dc:creator>
  <cp:lastModifiedBy>星卡</cp:lastModifiedBy>
  <dcterms:modified xsi:type="dcterms:W3CDTF">2024-11-08T14:41:29Z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28E37E9F298F4B91B4B71857906870B0_13</vt:lpwstr>
  </property>
</Properties>
</file>