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三十五</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22年2</w:t>
      </w:r>
      <w:r>
        <w:rPr>
          <w:rFonts w:hint="eastAsia" w:ascii="宋体" w:hAnsi="宋体"/>
          <w:color w:val="000000"/>
          <w:sz w:val="30"/>
          <w:szCs w:val="30"/>
        </w:rPr>
        <w:t>月</w:t>
      </w:r>
      <w:r>
        <w:rPr>
          <w:rFonts w:hint="eastAsia" w:ascii="宋体" w:hAnsi="宋体"/>
          <w:color w:val="000000"/>
          <w:sz w:val="30"/>
          <w:szCs w:val="30"/>
          <w:lang w:val="en-US" w:eastAsia="zh-CN"/>
        </w:rPr>
        <w:t>28</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pageBreakBefore w:val="0"/>
        <w:kinsoku/>
        <w:wordWrap/>
        <w:overflowPunct/>
        <w:topLinePunct w:val="0"/>
        <w:autoSpaceDE/>
        <w:autoSpaceDN/>
        <w:bidi w:val="0"/>
        <w:adjustRightInd/>
        <w:snapToGrid/>
        <w:spacing w:line="480" w:lineRule="auto"/>
        <w:ind w:firstLine="480" w:firstLineChars="200"/>
        <w:jc w:val="center"/>
        <w:textAlignment w:val="auto"/>
        <w:rPr>
          <w:rFonts w:hint="eastAsia" w:ascii="宋体" w:hAnsi="宋体" w:eastAsia="宋体" w:cs="宋体"/>
          <w:b/>
          <w:bCs/>
          <w:kern w:val="0"/>
          <w:sz w:val="28"/>
          <w:szCs w:val="28"/>
          <w:lang w:val="en-US" w:eastAsia="zh-CN" w:bidi="ar"/>
        </w:rPr>
      </w:pPr>
      <w:r>
        <w:rPr>
          <w:sz w:val="24"/>
        </w:rPr>
        <mc:AlternateContent>
          <mc:Choice Requires="wps">
            <w:drawing>
              <wp:anchor distT="0" distB="0" distL="114300" distR="114300" simplePos="0" relativeHeight="251661312" behindDoc="0" locked="0" layoutInCell="1" allowOverlap="1">
                <wp:simplePos x="0" y="0"/>
                <wp:positionH relativeFrom="column">
                  <wp:posOffset>71755</wp:posOffset>
                </wp:positionH>
                <wp:positionV relativeFrom="paragraph">
                  <wp:posOffset>155575</wp:posOffset>
                </wp:positionV>
                <wp:extent cx="5186680" cy="3037840"/>
                <wp:effectExtent l="4445" t="4445" r="5715" b="5715"/>
                <wp:wrapNone/>
                <wp:docPr id="80" name="文本框 80"/>
                <wp:cNvGraphicFramePr/>
                <a:graphic xmlns:a="http://schemas.openxmlformats.org/drawingml/2006/main">
                  <a:graphicData uri="http://schemas.microsoft.com/office/word/2010/wordprocessingShape">
                    <wps:wsp>
                      <wps:cNvSpPr txBox="1"/>
                      <wps:spPr>
                        <a:xfrm>
                          <a:off x="1236345" y="6619240"/>
                          <a:ext cx="5186680" cy="3037840"/>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u我校马院陈彩虹老师</w:t>
                            </w:r>
                            <w:r>
                              <w:rPr>
                                <w:rFonts w:hint="default" w:ascii="宋体" w:hAnsi="宋体" w:eastAsia="宋体" w:cs="宋体"/>
                                <w:b/>
                                <w:bCs/>
                                <w:kern w:val="0"/>
                                <w:sz w:val="21"/>
                                <w:szCs w:val="21"/>
                                <w:lang w:val="en-US" w:eastAsia="zh-CN"/>
                              </w:rPr>
                              <w:t>在2021年福州</w:t>
                            </w:r>
                            <w:r>
                              <w:rPr>
                                <w:rFonts w:hint="default" w:ascii="Wingdings" w:hAnsi="Wingdings" w:eastAsia="宋体" w:cs="Wingdings"/>
                                <w:b/>
                                <w:bCs/>
                                <w:color w:val="000000"/>
                                <w:kern w:val="2"/>
                                <w:sz w:val="21"/>
                                <w:szCs w:val="21"/>
                                <w:lang w:val="en-US" w:eastAsia="zh-CN" w:bidi="ar"/>
                              </w:rPr>
                              <w:t>市属高校“百堂思政示范课”遴选活动中上榜十佳榜单</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u我校薛小英老师申报课题获第一届黄炎培职业教育思想研究规划课题立项</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w:t>
                            </w:r>
                            <w:r>
                              <w:rPr>
                                <w:rFonts w:hint="default" w:ascii="宋体" w:hAnsi="宋体" w:eastAsia="宋体" w:cs="宋体"/>
                                <w:b/>
                                <w:bCs/>
                                <w:kern w:val="0"/>
                                <w:sz w:val="21"/>
                                <w:szCs w:val="21"/>
                                <w:lang w:val="en-US" w:eastAsia="zh-CN"/>
                              </w:rPr>
                              <w:t>8项课题</w:t>
                            </w:r>
                            <w:r>
                              <w:rPr>
                                <w:rFonts w:hint="default" w:ascii="Wingdings" w:hAnsi="Wingdings" w:eastAsia="宋体" w:cs="Wingdings"/>
                                <w:b/>
                                <w:bCs/>
                                <w:color w:val="000000"/>
                                <w:kern w:val="2"/>
                                <w:sz w:val="21"/>
                                <w:szCs w:val="21"/>
                                <w:lang w:val="en-US" w:eastAsia="zh-CN" w:bidi="ar"/>
                              </w:rPr>
                              <w:t>获福建省</w:t>
                            </w:r>
                            <w:r>
                              <w:rPr>
                                <w:rFonts w:hint="default" w:ascii="宋体" w:hAnsi="宋体" w:eastAsia="宋体" w:cs="宋体"/>
                                <w:b/>
                                <w:bCs/>
                                <w:kern w:val="0"/>
                                <w:sz w:val="21"/>
                                <w:szCs w:val="21"/>
                                <w:lang w:val="en-US" w:eastAsia="zh-CN"/>
                              </w:rPr>
                              <w:t>教育厅2021年度省中</w:t>
                            </w:r>
                            <w:r>
                              <w:rPr>
                                <w:rFonts w:hint="default" w:ascii="Wingdings" w:hAnsi="Wingdings" w:eastAsia="宋体" w:cs="Wingdings"/>
                                <w:b/>
                                <w:bCs/>
                                <w:color w:val="000000"/>
                                <w:kern w:val="2"/>
                                <w:sz w:val="21"/>
                                <w:szCs w:val="21"/>
                                <w:lang w:val="en-US" w:eastAsia="zh-CN" w:bidi="ar"/>
                              </w:rPr>
                              <w:t>青年教师教育科研项目（科技类）立项</w:t>
                            </w:r>
                          </w:p>
                          <w:p>
                            <w:pPr>
                              <w:keepNext w:val="0"/>
                              <w:keepLines w:val="0"/>
                              <w:widowControl w:val="0"/>
                              <w:suppressLineNumbers w:val="0"/>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u我校师生在第七届全国全国应用型人才综合技能大赛斩获佳绩</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u我校组织参</w:t>
                            </w:r>
                            <w:r>
                              <w:rPr>
                                <w:rFonts w:hint="default" w:ascii="宋体" w:hAnsi="宋体" w:eastAsia="宋体" w:cs="宋体"/>
                                <w:b/>
                                <w:bCs/>
                                <w:kern w:val="0"/>
                                <w:sz w:val="21"/>
                                <w:szCs w:val="21"/>
                                <w:lang w:val="en-US" w:eastAsia="zh-CN"/>
                              </w:rPr>
                              <w:t>加2022年全省教育</w:t>
                            </w:r>
                            <w:r>
                              <w:rPr>
                                <w:rFonts w:hint="default" w:ascii="Wingdings" w:hAnsi="Wingdings" w:eastAsia="宋体" w:cs="Wingdings"/>
                                <w:b/>
                                <w:bCs/>
                                <w:color w:val="000000"/>
                                <w:kern w:val="2"/>
                                <w:sz w:val="21"/>
                                <w:szCs w:val="21"/>
                                <w:lang w:val="en-US" w:eastAsia="zh-CN" w:bidi="ar"/>
                              </w:rPr>
                              <w:t>工作会议 暨春季学期开学工作部署会</w:t>
                            </w:r>
                          </w:p>
                          <w:p>
                            <w:pPr>
                              <w:keepNext w:val="0"/>
                              <w:keepLines w:val="0"/>
                              <w:widowControl w:val="0"/>
                              <w:suppressLineNumbers w:val="0"/>
                              <w:spacing w:before="0" w:beforeAutospacing="0" w:after="0" w:afterAutospacing="0"/>
                              <w:ind w:left="0" w:right="0" w:firstLine="632" w:firstLineChars="300"/>
                              <w:jc w:val="both"/>
                              <w:rPr>
                                <w:rFonts w:hint="eastAsia"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360" w:lineRule="auto"/>
                              <w:ind w:left="0" w:right="0" w:firstLine="632" w:firstLineChars="300"/>
                              <w:jc w:val="both"/>
                            </w:pPr>
                            <w:r>
                              <w:rPr>
                                <w:rFonts w:hint="default" w:ascii="Wingdings" w:hAnsi="Wingdings" w:eastAsia="宋体" w:cs="Wingdings"/>
                                <w:b/>
                                <w:bCs/>
                                <w:color w:val="000000"/>
                                <w:kern w:val="2"/>
                                <w:sz w:val="21"/>
                                <w:szCs w:val="21"/>
                                <w:lang w:val="en-US" w:eastAsia="zh-CN" w:bidi="ar"/>
                              </w:rPr>
                              <w:t>u游戏产业学院走访巨芯科技有限公司</w:t>
                            </w:r>
                          </w:p>
                          <w:p>
                            <w:pPr>
                              <w:keepNext w:val="0"/>
                              <w:keepLines w:val="0"/>
                              <w:widowControl w:val="0"/>
                              <w:suppressLineNumbers w:val="0"/>
                              <w:spacing w:before="0" w:beforeAutospacing="0" w:after="0" w:afterAutospacing="0" w:line="360" w:lineRule="auto"/>
                              <w:ind w:left="0" w:right="0" w:firstLine="632" w:firstLineChars="300"/>
                              <w:jc w:val="both"/>
                            </w:pPr>
                            <w:r>
                              <w:rPr>
                                <w:rFonts w:hint="default" w:ascii="Wingdings" w:hAnsi="Wingdings" w:eastAsia="宋体" w:cs="Wingdings"/>
                                <w:b/>
                                <w:bCs/>
                                <w:color w:val="000000"/>
                                <w:kern w:val="2"/>
                                <w:sz w:val="21"/>
                                <w:szCs w:val="21"/>
                                <w:lang w:val="en-US" w:eastAsia="zh-CN" w:bidi="ar"/>
                              </w:rPr>
                              <w:t>u游戏产业学院走访福建书境文化科技有限公司</w:t>
                            </w: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12.25pt;height:239.2pt;width:408.4pt;z-index:251661312;mso-width-relative:page;mso-height-relative:page;" fillcolor="#FFFFFF [3201]" filled="t" stroked="t" coordsize="21600,21600" o:gfxdata="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rg/8zXAAAACQEAAA8AAAAAAAAAAQAgAAAAIgAAAGRycy9kb3ducmV2LnhtbFBLAQIU&#10;ABQAAAAIAIdO4kDU5gZBZgIAAMcEAAAOAAAAAAAAAAEAIAAAACYBAABkcnMvZTJvRG9jLnhtbFBL&#10;BQYAAAAABgAGAFkBAAD+BQAAAAA=&#10;">
                <v:fill on="t" focussize="0,0"/>
                <v:stroke weight="0.5pt" color="#70AD47 [3209]" joinstyle="round"/>
                <v:imagedata o:title=""/>
                <o:lock v:ext="edit" aspectratio="f"/>
                <v:textbo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u我校马院陈彩虹老师</w:t>
                      </w:r>
                      <w:r>
                        <w:rPr>
                          <w:rFonts w:hint="default" w:ascii="宋体" w:hAnsi="宋体" w:eastAsia="宋体" w:cs="宋体"/>
                          <w:b/>
                          <w:bCs/>
                          <w:kern w:val="0"/>
                          <w:sz w:val="21"/>
                          <w:szCs w:val="21"/>
                          <w:lang w:val="en-US" w:eastAsia="zh-CN"/>
                        </w:rPr>
                        <w:t>在2021年福州</w:t>
                      </w:r>
                      <w:r>
                        <w:rPr>
                          <w:rFonts w:hint="default" w:ascii="Wingdings" w:hAnsi="Wingdings" w:eastAsia="宋体" w:cs="Wingdings"/>
                          <w:b/>
                          <w:bCs/>
                          <w:color w:val="000000"/>
                          <w:kern w:val="2"/>
                          <w:sz w:val="21"/>
                          <w:szCs w:val="21"/>
                          <w:lang w:val="en-US" w:eastAsia="zh-CN" w:bidi="ar"/>
                        </w:rPr>
                        <w:t>市属高校“百堂思政示范课”遴选活动中上榜十佳榜单</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u我校薛小英老师申报课题获第一届黄炎培职业教育思想研究规划课题立项</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w:t>
                      </w:r>
                      <w:r>
                        <w:rPr>
                          <w:rFonts w:hint="default" w:ascii="宋体" w:hAnsi="宋体" w:eastAsia="宋体" w:cs="宋体"/>
                          <w:b/>
                          <w:bCs/>
                          <w:kern w:val="0"/>
                          <w:sz w:val="21"/>
                          <w:szCs w:val="21"/>
                          <w:lang w:val="en-US" w:eastAsia="zh-CN"/>
                        </w:rPr>
                        <w:t>8项课题</w:t>
                      </w:r>
                      <w:r>
                        <w:rPr>
                          <w:rFonts w:hint="default" w:ascii="Wingdings" w:hAnsi="Wingdings" w:eastAsia="宋体" w:cs="Wingdings"/>
                          <w:b/>
                          <w:bCs/>
                          <w:color w:val="000000"/>
                          <w:kern w:val="2"/>
                          <w:sz w:val="21"/>
                          <w:szCs w:val="21"/>
                          <w:lang w:val="en-US" w:eastAsia="zh-CN" w:bidi="ar"/>
                        </w:rPr>
                        <w:t>获福建省</w:t>
                      </w:r>
                      <w:r>
                        <w:rPr>
                          <w:rFonts w:hint="default" w:ascii="宋体" w:hAnsi="宋体" w:eastAsia="宋体" w:cs="宋体"/>
                          <w:b/>
                          <w:bCs/>
                          <w:kern w:val="0"/>
                          <w:sz w:val="21"/>
                          <w:szCs w:val="21"/>
                          <w:lang w:val="en-US" w:eastAsia="zh-CN"/>
                        </w:rPr>
                        <w:t>教育厅2021年度省中</w:t>
                      </w:r>
                      <w:r>
                        <w:rPr>
                          <w:rFonts w:hint="default" w:ascii="Wingdings" w:hAnsi="Wingdings" w:eastAsia="宋体" w:cs="Wingdings"/>
                          <w:b/>
                          <w:bCs/>
                          <w:color w:val="000000"/>
                          <w:kern w:val="2"/>
                          <w:sz w:val="21"/>
                          <w:szCs w:val="21"/>
                          <w:lang w:val="en-US" w:eastAsia="zh-CN" w:bidi="ar"/>
                        </w:rPr>
                        <w:t>青年教师教育科研项目（科技类）立项</w:t>
                      </w:r>
                    </w:p>
                    <w:p>
                      <w:pPr>
                        <w:keepNext w:val="0"/>
                        <w:keepLines w:val="0"/>
                        <w:widowControl w:val="0"/>
                        <w:suppressLineNumbers w:val="0"/>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u我校师生在第七届全国全国应用型人才综合技能大赛斩获佳绩</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u我校组织参</w:t>
                      </w:r>
                      <w:r>
                        <w:rPr>
                          <w:rFonts w:hint="default" w:ascii="宋体" w:hAnsi="宋体" w:eastAsia="宋体" w:cs="宋体"/>
                          <w:b/>
                          <w:bCs/>
                          <w:kern w:val="0"/>
                          <w:sz w:val="21"/>
                          <w:szCs w:val="21"/>
                          <w:lang w:val="en-US" w:eastAsia="zh-CN"/>
                        </w:rPr>
                        <w:t>加2022年全省教育</w:t>
                      </w:r>
                      <w:r>
                        <w:rPr>
                          <w:rFonts w:hint="default" w:ascii="Wingdings" w:hAnsi="Wingdings" w:eastAsia="宋体" w:cs="Wingdings"/>
                          <w:b/>
                          <w:bCs/>
                          <w:color w:val="000000"/>
                          <w:kern w:val="2"/>
                          <w:sz w:val="21"/>
                          <w:szCs w:val="21"/>
                          <w:lang w:val="en-US" w:eastAsia="zh-CN" w:bidi="ar"/>
                        </w:rPr>
                        <w:t>工作会议 暨春季学期开学工作部署会</w:t>
                      </w:r>
                    </w:p>
                    <w:p>
                      <w:pPr>
                        <w:keepNext w:val="0"/>
                        <w:keepLines w:val="0"/>
                        <w:widowControl w:val="0"/>
                        <w:suppressLineNumbers w:val="0"/>
                        <w:spacing w:before="0" w:beforeAutospacing="0" w:after="0" w:afterAutospacing="0"/>
                        <w:ind w:left="0" w:right="0" w:firstLine="632" w:firstLineChars="300"/>
                        <w:jc w:val="both"/>
                        <w:rPr>
                          <w:rFonts w:hint="eastAsia" w:ascii="Wingdings" w:hAnsi="Wingdings" w:eastAsia="宋体" w:cs="Wingdings"/>
                          <w:b/>
                          <w:bCs/>
                          <w:color w:val="000000"/>
                          <w:kern w:val="2"/>
                          <w:sz w:val="21"/>
                          <w:szCs w:val="21"/>
                          <w:lang w:val="en-US" w:eastAsia="zh-CN" w:bidi="ar"/>
                        </w:rPr>
                      </w:pPr>
                    </w:p>
                    <w:p>
                      <w:pPr>
                        <w:keepNext w:val="0"/>
                        <w:keepLines w:val="0"/>
                        <w:widowControl w:val="0"/>
                        <w:suppressLineNumbers w:val="0"/>
                        <w:spacing w:before="0" w:beforeAutospacing="0" w:after="0" w:afterAutospacing="0" w:line="360" w:lineRule="auto"/>
                        <w:ind w:left="0" w:right="0" w:firstLine="632" w:firstLineChars="300"/>
                        <w:jc w:val="both"/>
                      </w:pPr>
                      <w:r>
                        <w:rPr>
                          <w:rFonts w:hint="default" w:ascii="Wingdings" w:hAnsi="Wingdings" w:eastAsia="宋体" w:cs="Wingdings"/>
                          <w:b/>
                          <w:bCs/>
                          <w:color w:val="000000"/>
                          <w:kern w:val="2"/>
                          <w:sz w:val="21"/>
                          <w:szCs w:val="21"/>
                          <w:lang w:val="en-US" w:eastAsia="zh-CN" w:bidi="ar"/>
                        </w:rPr>
                        <w:t>u游戏产业学院走访巨芯科技有限公司</w:t>
                      </w:r>
                    </w:p>
                    <w:p>
                      <w:pPr>
                        <w:keepNext w:val="0"/>
                        <w:keepLines w:val="0"/>
                        <w:widowControl w:val="0"/>
                        <w:suppressLineNumbers w:val="0"/>
                        <w:spacing w:before="0" w:beforeAutospacing="0" w:after="0" w:afterAutospacing="0" w:line="360" w:lineRule="auto"/>
                        <w:ind w:left="0" w:right="0" w:firstLine="632" w:firstLineChars="300"/>
                        <w:jc w:val="both"/>
                      </w:pPr>
                      <w:r>
                        <w:rPr>
                          <w:rFonts w:hint="default" w:ascii="Wingdings" w:hAnsi="Wingdings" w:eastAsia="宋体" w:cs="Wingdings"/>
                          <w:b/>
                          <w:bCs/>
                          <w:color w:val="000000"/>
                          <w:kern w:val="2"/>
                          <w:sz w:val="21"/>
                          <w:szCs w:val="21"/>
                          <w:lang w:val="en-US" w:eastAsia="zh-CN" w:bidi="ar"/>
                        </w:rPr>
                        <w:t>u游戏产业学院走访福建书境文化科技有限公司</w:t>
                      </w: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v:textbox>
              </v:shape>
            </w:pict>
          </mc:Fallback>
        </mc:AlternateContent>
      </w:r>
      <w:r>
        <w:br w:type="page"/>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i w:val="0"/>
          <w:iCs w:val="0"/>
          <w:caps w:val="0"/>
          <w:spacing w:val="0"/>
          <w:kern w:val="0"/>
          <w:sz w:val="28"/>
          <w:szCs w:val="28"/>
          <w:shd w:val="clear" w:fill="FFFFFF"/>
        </w:rPr>
      </w:pPr>
      <w:r>
        <w:rPr>
          <w:rFonts w:hint="eastAsia" w:ascii="宋体" w:hAnsi="宋体" w:eastAsia="宋体" w:cs="宋体"/>
          <w:b/>
          <w:bCs/>
          <w:i w:val="0"/>
          <w:iCs w:val="0"/>
          <w:caps w:val="0"/>
          <w:spacing w:val="0"/>
          <w:kern w:val="0"/>
          <w:sz w:val="28"/>
          <w:szCs w:val="28"/>
          <w:shd w:val="clear" w:fill="FFFFFF"/>
          <w:lang w:val="en-US" w:eastAsia="zh-CN" w:bidi="ar"/>
        </w:rPr>
        <w:t>我校马院陈彩虹老师</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i w:val="0"/>
          <w:iCs w:val="0"/>
          <w:caps w:val="0"/>
          <w:spacing w:val="0"/>
          <w:kern w:val="0"/>
          <w:sz w:val="28"/>
          <w:szCs w:val="28"/>
          <w:shd w:val="clear" w:fill="FFFFFF"/>
        </w:rPr>
      </w:pPr>
      <w:r>
        <w:rPr>
          <w:rFonts w:hint="eastAsia" w:ascii="宋体" w:hAnsi="宋体" w:eastAsia="宋体" w:cs="宋体"/>
          <w:b/>
          <w:bCs/>
          <w:i w:val="0"/>
          <w:iCs w:val="0"/>
          <w:caps w:val="0"/>
          <w:spacing w:val="0"/>
          <w:kern w:val="0"/>
          <w:sz w:val="28"/>
          <w:szCs w:val="28"/>
          <w:shd w:val="clear" w:fill="FFFFFF"/>
          <w:lang w:val="en-US" w:eastAsia="zh-CN" w:bidi="ar"/>
        </w:rPr>
        <w:t>在2021年福州市属高校“百堂思政示范课”遴选活动中上榜十佳榜单</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i w:val="0"/>
          <w:iCs w:val="0"/>
          <w:caps w:val="0"/>
          <w:spacing w:val="0"/>
          <w:kern w:val="0"/>
          <w:sz w:val="28"/>
          <w:szCs w:val="28"/>
          <w:shd w:val="clear" w:fill="FFFFFF"/>
        </w:rPr>
      </w:pPr>
      <w:r>
        <w:rPr>
          <w:rFonts w:hint="eastAsia" w:ascii="宋体" w:hAnsi="宋体" w:eastAsia="宋体" w:cs="宋体"/>
          <w:b/>
          <w:bCs/>
          <w:i w:val="0"/>
          <w:iCs w:val="0"/>
          <w:caps w:val="0"/>
          <w:spacing w:val="0"/>
          <w:kern w:val="0"/>
          <w:sz w:val="28"/>
          <w:szCs w:val="28"/>
          <w:shd w:val="clear" w:fill="FFFFFF"/>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both"/>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根据《福州市教育局关于公布2021年思政示范课遴选结果的通知 （榕教思〔2021〕35号）》文件获悉，我校马克思主义学院陈彩虹老师在2021年福州市属高校“百堂思政示范课”遴选活动中，选送课程《中国革命道德的内涵和价值》入选“百堂思政示范课”。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both"/>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百堂思政示范课有助于进一步贯彻落实习近平总书记在思想政治理论课教师座谈会上的重要讲话精神和各级有关加强思政课建设文件精神，不断推进思政课改革创新，提升思政课教学质量，落实好立德树人根本任务。我校将进一步抓好示范课建设，切实提高示范课“含金量”，形成示范带动作用，实现育人目标。</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810000"/>
            <wp:effectExtent l="0" t="0" r="13335"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6"/>
                    <a:stretch>
                      <a:fillRect/>
                    </a:stretch>
                  </pic:blipFill>
                  <pic:spPr>
                    <a:xfrm>
                      <a:off x="0" y="0"/>
                      <a:ext cx="4314825" cy="38100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我校薛小英老师申报课题</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获第一届黄炎培职业教育思想研究规划课题立项</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近日，中华职业教育社发布《关于公布第一届黄炎培职业教育思想研究规划课题立项名单的通知》（社发〔2021〕44号），我校马克思主义学院薛小英老师“黄炎培职业教育思想视域下民办高职院校市场定位策略研究”获批立项</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2371725"/>
            <wp:effectExtent l="0" t="0" r="13335" b="571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7"/>
                    <a:stretch>
                      <a:fillRect/>
                    </a:stretch>
                  </pic:blipFill>
                  <pic:spPr>
                    <a:xfrm>
                      <a:off x="0" y="0"/>
                      <a:ext cx="4314825" cy="23717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黄炎培职业教育思想是以黄炎培先生为代表的一代先贤，在开创中国近现代职业教育实践中形成的教育理论，是本土化的、具有中国特色的职业教育指导方针、理论原则和实践经验总结，内涵丰富，具有穿越时空的力量，是中华职教社集体智慧的结晶，是中华职教社历经百年而不衰的宝贵精神财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据悉，此次课题围绕黄炎培职业教育思想为主旨，为进一步加强黄炎培职业教育思想的研究，指导、服务和促进职业教育改革与发展，把握好今后研究工作的重点和方向，为不断推进我国职业教育理论创新，用理论创新成果推动事业创新发展。</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我校8项课题获福建省教育厅</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2021年度省中青年教师教育科研项目（科技类） 立项</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近日，福建省教育厅发布关于《福建省教育厅关于公布2021年度福建省中青年教师教育科研项目（科技类）立项名单的通知》 （闽教科〔2021〕24号），学院8项课题获批立项。立项结果如下：</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733800"/>
            <wp:effectExtent l="0" t="0" r="13335"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8"/>
                    <a:stretch>
                      <a:fillRect/>
                    </a:stretch>
                  </pic:blipFill>
                  <pic:spPr>
                    <a:xfrm>
                      <a:off x="0" y="0"/>
                      <a:ext cx="4314825" cy="37338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据悉，经福建省教育厅组织专家评审、审核、网上公示等程序，确定2021年度福建省中青年教师教育科研项目（科技类）立项项目（含信息化专项）1028项，其中，高校教育信息化专项共计立项28项，我校老师获批3项。</w:t>
      </w:r>
    </w:p>
    <w:p>
      <w:pPr>
        <w:keepNext w:val="0"/>
        <w:keepLines w:val="0"/>
        <w:widowControl/>
        <w:suppressLineNumbers w:val="0"/>
        <w:autoSpaceDE w:val="0"/>
        <w:autoSpaceDN/>
        <w:spacing w:before="0" w:beforeAutospacing="0" w:after="0" w:afterAutospacing="0" w:line="307" w:lineRule="auto"/>
        <w:ind w:left="0" w:leftChars="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i w:val="0"/>
          <w:iCs w:val="0"/>
          <w:caps w:val="0"/>
          <w:spacing w:val="0"/>
          <w:kern w:val="0"/>
          <w:sz w:val="28"/>
          <w:szCs w:val="28"/>
          <w:shd w:val="clear" w:fill="FFFFFF"/>
        </w:rPr>
      </w:pPr>
      <w:r>
        <w:rPr>
          <w:rFonts w:hint="eastAsia" w:ascii="宋体" w:hAnsi="宋体" w:eastAsia="宋体" w:cs="宋体"/>
          <w:b/>
          <w:bCs/>
          <w:i w:val="0"/>
          <w:iCs w:val="0"/>
          <w:caps w:val="0"/>
          <w:spacing w:val="0"/>
          <w:kern w:val="0"/>
          <w:sz w:val="28"/>
          <w:szCs w:val="28"/>
          <w:shd w:val="clear" w:fill="FFFFFF"/>
          <w:lang w:val="en-US" w:eastAsia="zh-CN" w:bidi="ar"/>
        </w:rPr>
        <w:t>我校师生在第七届全国全国应用型人才综合技能大赛斩获佳绩</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b/>
          <w:bCs/>
          <w:i w:val="0"/>
          <w:iCs w:val="0"/>
          <w:caps w:val="0"/>
          <w:spacing w:val="0"/>
          <w:kern w:val="0"/>
          <w:sz w:val="28"/>
          <w:szCs w:val="28"/>
          <w:shd w:val="clear" w:fill="FFFFFF"/>
        </w:rPr>
      </w:pPr>
      <w:r>
        <w:rPr>
          <w:rFonts w:hint="eastAsia" w:ascii="宋体" w:hAnsi="宋体" w:eastAsia="宋体" w:cs="宋体"/>
          <w:b/>
          <w:bCs/>
          <w:i w:val="0"/>
          <w:iCs w:val="0"/>
          <w:caps w:val="0"/>
          <w:spacing w:val="0"/>
          <w:kern w:val="0"/>
          <w:sz w:val="28"/>
          <w:szCs w:val="28"/>
          <w:shd w:val="clear" w:fill="FFFFFF"/>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近日，我校师生在第七届全国应用型人才综合技能大赛中成绩优异。本次比赛，容艺影视产业学院、游戏产业学院、建筑工程系和经济管理系组织师生参加“匠心·民族魂”平面设计创新创意大赛、“匠心·园丁情”教师创课大赛，分获“匠心·民族魂”平面设计创新创意大赛荣获一等奖一项、二等奖八项和三等奖八项以及“匠心·园丁情”教师创课大赛荣获二等奖。其中，林梦姗、张晓霞老师在大赛组织工作中表现突出，获得“先进个人”称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据悉，全国应用型人才综合技能大赛秉承“以赛促学、以赛促创、以赛促教、以赛促业”的宗旨，为企业、高校和学生搭建展示、交流、互动的平台，有助于促进我校应用型人才培养教育教学改革，进一步提高学生技术技能和“双创”竞争力。</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3105150" cy="4857750"/>
            <wp:effectExtent l="0" t="0" r="3810" b="381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9"/>
                    <a:stretch>
                      <a:fillRect/>
                    </a:stretch>
                  </pic:blipFill>
                  <pic:spPr>
                    <a:xfrm>
                      <a:off x="0" y="0"/>
                      <a:ext cx="3105150" cy="485775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suppressLineNumbers w:val="0"/>
        <w:autoSpaceDE w:val="0"/>
        <w:autoSpaceDN/>
        <w:spacing w:before="0" w:beforeAutospacing="0" w:after="0" w:afterAutospacing="0" w:line="307" w:lineRule="auto"/>
        <w:ind w:left="0" w:leftChars="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152900" cy="1895475"/>
            <wp:effectExtent l="0" t="0" r="7620" b="9525"/>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10"/>
                    <a:stretch>
                      <a:fillRect/>
                    </a:stretch>
                  </pic:blipFill>
                  <pic:spPr>
                    <a:xfrm>
                      <a:off x="0" y="0"/>
                      <a:ext cx="4152900" cy="189547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suppressLineNumbers w:val="0"/>
        <w:spacing w:before="0" w:beforeAutospacing="0" w:after="0" w:afterAutospacing="0"/>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我校组织参加2022年全省教育工作会议 暨春季学期开学工作部署会</w:t>
      </w:r>
    </w:p>
    <w:p>
      <w:pPr>
        <w:keepNext w:val="0"/>
        <w:keepLines w:val="0"/>
        <w:widowControl/>
        <w:suppressLineNumbers w:val="0"/>
        <w:spacing w:before="0" w:beforeAutospacing="0" w:after="0" w:afterAutospacing="0"/>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spacing w:before="0" w:beforeAutospacing="0" w:after="0" w:afterAutospacing="0"/>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2022年2月18日下午，福建省教育厅办公室召开2022年全省教育工作会议暨春季学期开学工作部署会。学校党委书记王卫旗，执行校长俞发仁，副校长王秋宏，党委副书记林艺勇，校长助理柯建琳、林土水，以及各学院（系、部）、各部门负责人等共23人次以视频方式参加了会议。</w:t>
      </w:r>
    </w:p>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3324225"/>
            <wp:effectExtent l="0" t="0" r="13335" b="13335"/>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11"/>
                    <a:stretch>
                      <a:fillRect/>
                    </a:stretch>
                  </pic:blipFill>
                  <pic:spPr>
                    <a:xfrm>
                      <a:off x="0" y="0"/>
                      <a:ext cx="4314825" cy="33242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全省教育工作会上，省委教育工作领导小组秘书组组长、省委教育工委书记、省教育厅党组书记、厅长林和平作题为《高举旗帜牢记嘱托勇担使命砥砺前行 加快推进福建教育高质量发展》的工作报告，全面总结了2021年全省教育工作取得的成绩，深入分析了全省教育面临的新形势新任务，提出推进全省教育事业建设和发展的新举措。省委教育工委委员、省教育厅党组成员、副厅长（正厅长级）刘健传达省委书记尹力、省长赵龙对全省教育工作的批示，省委教育工委副书记、省教育厅党组成员林生主持会议。厦门大学、福州大学、闽江学院、福建船政交通职业学院、厦门市教育局、三明市教育局等6个单位、学校通过线上线下相结合的方式作交流发言。</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iCs w:val="0"/>
          <w:caps w:val="0"/>
          <w:color w:val="333333"/>
          <w:spacing w:val="0"/>
          <w:kern w:val="0"/>
          <w:sz w:val="28"/>
          <w:szCs w:val="28"/>
          <w:shd w:val="clear" w:fill="FFFFFF"/>
        </w:rPr>
      </w:pPr>
      <w:r>
        <w:rPr>
          <w:rFonts w:hint="eastAsia" w:ascii="宋体" w:hAnsi="宋体" w:eastAsia="宋体" w:cs="宋体"/>
          <w:i w:val="0"/>
          <w:iCs w:val="0"/>
          <w:caps w:val="0"/>
          <w:color w:val="333333"/>
          <w:spacing w:val="0"/>
          <w:kern w:val="0"/>
          <w:sz w:val="28"/>
          <w:szCs w:val="28"/>
          <w:shd w:val="clear" w:fill="FFFFFF"/>
          <w:lang w:val="en-US" w:eastAsia="zh-CN" w:bidi="ar"/>
        </w:rPr>
        <w:t>春季学期开学工作部署会上，林和平厅长指出，近期全省各级各类学校陆续进入春季学期开学季，做好开学准备各项工作，事关全省全年教育工作，事关校园安全稳定，事关家家户户、民生福祉。他强调：一要把好校园疫情防控关；二要上好开学第一课；三要做好教育教学准备工作；四要抓好高校毕业生就业创业工作；五要落实好考试安全工作；六要开展好“三提三效”行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kern w:val="0"/>
          <w:sz w:val="28"/>
          <w:szCs w:val="28"/>
          <w:shd w:val="clear" w:fill="FFFFFF"/>
        </w:rPr>
      </w:pPr>
      <w:r>
        <w:rPr>
          <w:rFonts w:ascii="宋体" w:hAnsi="宋体" w:eastAsia="宋体" w:cs="宋体"/>
          <w:kern w:val="0"/>
          <w:sz w:val="24"/>
          <w:shd w:val="clear" w:fill="FFFFFF"/>
          <w:lang w:val="en-US" w:eastAsia="zh-CN" w:bidi="ar"/>
        </w:rPr>
        <w:drawing>
          <wp:inline distT="0" distB="0" distL="114300" distR="114300">
            <wp:extent cx="4314825" cy="3514725"/>
            <wp:effectExtent l="0" t="0" r="13335" b="571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2"/>
                    <a:stretch>
                      <a:fillRect/>
                    </a:stretch>
                  </pic:blipFill>
                  <pic:spPr>
                    <a:xfrm>
                      <a:off x="0" y="0"/>
                      <a:ext cx="4314825" cy="3514725"/>
                    </a:xfrm>
                    <a:prstGeom prst="rect">
                      <a:avLst/>
                    </a:prstGeom>
                    <a:noFill/>
                    <a:ln w="9525">
                      <a:noFill/>
                    </a:ln>
                  </pic:spPr>
                </pic:pic>
              </a:graphicData>
            </a:graphic>
          </wp:inline>
        </w:drawing>
      </w:r>
      <w:r>
        <w:rPr>
          <w:rFonts w:hint="eastAsia" w:ascii="宋体" w:hAnsi="宋体" w:eastAsia="宋体" w:cs="宋体"/>
          <w:i w:val="0"/>
          <w:iCs w:val="0"/>
          <w:caps w:val="0"/>
          <w:color w:val="333333"/>
          <w:spacing w:val="0"/>
          <w:kern w:val="0"/>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jc w:val="left"/>
      </w:pPr>
      <w:r>
        <w:rPr>
          <w:rFonts w:hint="eastAsia" w:ascii="宋体" w:hAnsi="宋体" w:eastAsia="宋体" w:cs="宋体"/>
          <w:kern w:val="0"/>
          <w:sz w:val="28"/>
          <w:szCs w:val="28"/>
          <w:lang w:val="en-US" w:eastAsia="zh-CN" w:bidi="ar"/>
        </w:rPr>
        <w:t>视频会议后，俞发仁执行校长就春季学期开学疫情防控、校园安全、教学准备等有关工作作出部署，强调要“补短板，稳规模，抓内涵，促发展”。一是认真做好常态化疫情防控，加强师生员工健康管理，提高学校突发性事件应急处置能力；二是完善学校春季学期工作安排，科学制定开学工作方案，及时修订专业人才培养方案；三是重视教师结构与专业职称要求，积极构建创新型教师团队；四是持续推进产业学院建设，校企融合建设高水平产教融合实训基地；五是加大招生宣传力度，努力提高春季招生计划完成率。</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b w:val="0"/>
          <w:bCs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492EF2"/>
    <w:rsid w:val="0DAE649D"/>
    <w:rsid w:val="1137499E"/>
    <w:rsid w:val="14267D62"/>
    <w:rsid w:val="1581137D"/>
    <w:rsid w:val="16FD7E14"/>
    <w:rsid w:val="182A0257"/>
    <w:rsid w:val="1ADA6B24"/>
    <w:rsid w:val="1B2F59A1"/>
    <w:rsid w:val="21EC0DFA"/>
    <w:rsid w:val="22BE09DF"/>
    <w:rsid w:val="24103800"/>
    <w:rsid w:val="24E21572"/>
    <w:rsid w:val="2A6A6207"/>
    <w:rsid w:val="2C282A65"/>
    <w:rsid w:val="354A3DC9"/>
    <w:rsid w:val="35A3072E"/>
    <w:rsid w:val="37B00EE0"/>
    <w:rsid w:val="3DCE7A1C"/>
    <w:rsid w:val="3FBC0B08"/>
    <w:rsid w:val="44B849E7"/>
    <w:rsid w:val="4B043B01"/>
    <w:rsid w:val="4CB42219"/>
    <w:rsid w:val="55904441"/>
    <w:rsid w:val="572B7BC7"/>
    <w:rsid w:val="63D935CE"/>
    <w:rsid w:val="64935200"/>
    <w:rsid w:val="68DA2630"/>
    <w:rsid w:val="6BF0084F"/>
    <w:rsid w:val="6D063AAA"/>
    <w:rsid w:val="6F7C10CD"/>
    <w:rsid w:val="6FAC7B19"/>
    <w:rsid w:val="70AB5914"/>
    <w:rsid w:val="77E175A6"/>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ind w:left="140" w:firstLine="420" w:firstLineChars="100"/>
      <w:jc w:val="both"/>
    </w:pPr>
    <w:rPr>
      <w:rFonts w:hint="default" w:ascii="Calibri" w:hAnsi="Calibri" w:eastAsia="宋体" w:cs="Times New Roman"/>
      <w:kern w:val="0"/>
      <w:sz w:val="20"/>
      <w:szCs w:val="20"/>
      <w:lang w:val="en-US" w:eastAsia="zh-CN" w:bidi="ar"/>
    </w:rPr>
  </w:style>
  <w:style w:type="paragraph" w:styleId="3">
    <w:name w:val="Body Text"/>
    <w:basedOn w:val="1"/>
    <w:next w:val="1"/>
    <w:qFormat/>
    <w:uiPriority w:val="1"/>
    <w:pPr>
      <w:ind w:left="140"/>
    </w:pPr>
    <w:rPr>
      <w:rFonts w:ascii="宋体" w:hAnsi="宋体" w:eastAsia="宋体"/>
      <w:sz w:val="32"/>
      <w:szCs w:val="32"/>
    </w:rPr>
  </w:style>
  <w:style w:type="paragraph" w:styleId="6">
    <w:name w:val="Body Text Indent 2"/>
    <w:basedOn w:val="1"/>
    <w:qFormat/>
    <w:uiPriority w:val="0"/>
    <w:pPr>
      <w:keepNext w:val="0"/>
      <w:keepLines w:val="0"/>
      <w:widowControl w:val="0"/>
      <w:suppressLineNumbers w:val="0"/>
      <w:spacing w:line="400" w:lineRule="exact"/>
      <w:ind w:left="359" w:leftChars="171" w:firstLine="2" w:firstLineChars="200"/>
      <w:jc w:val="left"/>
    </w:pPr>
    <w:rPr>
      <w:rFonts w:hint="default" w:ascii="Calibri" w:hAnsi="Calibri" w:eastAsia="宋体" w:cs="Times New Roman"/>
      <w:kern w:val="2"/>
      <w:sz w:val="24"/>
      <w:szCs w:val="24"/>
      <w:lang w:val="en-US" w:eastAsia="zh-CN" w:bidi="ar"/>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eastAsia" w:ascii="等线" w:hAnsi="等线" w:eastAsia="等线"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2260</Words>
  <Characters>2312</Characters>
  <Lines>1</Lines>
  <Paragraphs>1</Paragraphs>
  <TotalTime>1</TotalTime>
  <ScaleCrop>false</ScaleCrop>
  <LinksUpToDate>false</LinksUpToDate>
  <CharactersWithSpaces>2354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2024-06-25T06:28:14Z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963BD7855C1048578449DFEBB9F66D69_13</vt:lpwstr>
  </property>
</Properties>
</file>