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十九</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20年11</w:t>
      </w:r>
      <w:r>
        <w:rPr>
          <w:rFonts w:hint="eastAsia" w:ascii="宋体" w:hAnsi="宋体"/>
          <w:color w:val="000000"/>
          <w:sz w:val="30"/>
          <w:szCs w:val="30"/>
        </w:rPr>
        <w:t>月</w:t>
      </w:r>
      <w:r>
        <w:rPr>
          <w:rFonts w:hint="eastAsia" w:ascii="宋体" w:hAnsi="宋体"/>
          <w:color w:val="000000"/>
          <w:sz w:val="30"/>
          <w:szCs w:val="30"/>
          <w:lang w:val="en-US" w:eastAsia="zh-CN"/>
        </w:rPr>
        <w:t>25</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hint="eastAsia" w:ascii="宋体" w:hAnsi="宋体" w:eastAsia="宋体" w:cs="宋体"/>
          <w:b/>
          <w:bCs/>
          <w:kern w:val="0"/>
          <w:sz w:val="28"/>
          <w:szCs w:val="28"/>
          <w:lang w:val="en-US" w:eastAsia="zh-CN" w:bidi="ar"/>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bCs/>
          <w:kern w:val="0"/>
          <w:sz w:val="28"/>
          <w:szCs w:val="28"/>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188595</wp:posOffset>
                </wp:positionV>
                <wp:extent cx="5186680" cy="2729230"/>
                <wp:effectExtent l="4445" t="4445" r="5715" b="9525"/>
                <wp:wrapNone/>
                <wp:docPr id="80" name="文本框 80"/>
                <wp:cNvGraphicFramePr/>
                <a:graphic xmlns:a="http://schemas.openxmlformats.org/drawingml/2006/main">
                  <a:graphicData uri="http://schemas.microsoft.com/office/word/2010/wordprocessingShape">
                    <wps:wsp>
                      <wps:cNvSpPr txBox="1"/>
                      <wps:spPr>
                        <a:xfrm>
                          <a:off x="1236345" y="6619240"/>
                          <a:ext cx="5186680" cy="272923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rPr>
                            </w:pPr>
                            <w:r>
                              <w:rPr>
                                <w:rFonts w:hint="default" w:ascii="Wingdings" w:hAnsi="Wingdings" w:eastAsia="宋体" w:cs="Wingdings"/>
                                <w:b/>
                                <w:bCs/>
                                <w:color w:val="000000"/>
                                <w:kern w:val="2"/>
                                <w:sz w:val="21"/>
                                <w:szCs w:val="21"/>
                                <w:lang w:val="en-US" w:eastAsia="zh-CN" w:bidi="ar"/>
                              </w:rPr>
                              <w:t>u我</w:t>
                            </w:r>
                            <w:r>
                              <w:rPr>
                                <w:rFonts w:hint="default" w:ascii="宋体" w:hAnsi="宋体" w:eastAsia="宋体" w:cs="宋体"/>
                                <w:b/>
                                <w:bCs/>
                                <w:color w:val="000000"/>
                                <w:kern w:val="2"/>
                                <w:sz w:val="21"/>
                                <w:szCs w:val="21"/>
                                <w:lang w:val="en-US" w:eastAsia="zh-CN" w:bidi="ar"/>
                              </w:rPr>
                              <w:t>院2项课题</w:t>
                            </w:r>
                            <w:r>
                              <w:rPr>
                                <w:rFonts w:hint="default" w:ascii="Wingdings" w:hAnsi="Wingdings" w:eastAsia="宋体" w:cs="Wingdings"/>
                                <w:b/>
                                <w:bCs/>
                                <w:color w:val="000000"/>
                                <w:kern w:val="2"/>
                                <w:sz w:val="21"/>
                                <w:szCs w:val="21"/>
                                <w:lang w:val="en-US" w:eastAsia="zh-CN" w:bidi="ar"/>
                              </w:rPr>
                              <w:t>获</w:t>
                            </w:r>
                            <w:r>
                              <w:rPr>
                                <w:rFonts w:hint="eastAsia" w:ascii="宋体" w:hAnsi="宋体" w:eastAsia="宋体" w:cs="宋体"/>
                                <w:b/>
                                <w:bCs/>
                                <w:color w:val="000000"/>
                                <w:kern w:val="2"/>
                                <w:sz w:val="21"/>
                                <w:szCs w:val="21"/>
                                <w:lang w:val="en-US" w:eastAsia="zh-CN" w:bidi="ar"/>
                              </w:rPr>
                              <w:t>2020年</w:t>
                            </w:r>
                            <w:r>
                              <w:rPr>
                                <w:rFonts w:hint="default" w:ascii="Wingdings" w:hAnsi="Wingdings" w:eastAsia="宋体" w:cs="Wingdings"/>
                                <w:b/>
                                <w:bCs/>
                                <w:color w:val="000000"/>
                                <w:kern w:val="2"/>
                                <w:sz w:val="21"/>
                                <w:szCs w:val="21"/>
                                <w:lang w:val="en-US" w:eastAsia="zh-CN" w:bidi="ar"/>
                              </w:rPr>
                              <w:t>福建省职业技术教育中心职业教育教学改革研究课题立项</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u我院举</w:t>
                            </w:r>
                            <w:r>
                              <w:rPr>
                                <w:rFonts w:hint="default" w:ascii="宋体" w:hAnsi="宋体" w:eastAsia="宋体" w:cs="宋体"/>
                                <w:b/>
                                <w:bCs/>
                                <w:color w:val="000000"/>
                                <w:kern w:val="2"/>
                                <w:sz w:val="21"/>
                                <w:szCs w:val="21"/>
                                <w:lang w:val="en-US" w:eastAsia="zh-CN" w:bidi="ar"/>
                              </w:rPr>
                              <w:t>办AI课件板书PPT实</w:t>
                            </w:r>
                            <w:r>
                              <w:rPr>
                                <w:rFonts w:hint="default" w:ascii="Wingdings" w:hAnsi="Wingdings" w:eastAsia="宋体" w:cs="Wingdings"/>
                                <w:b/>
                                <w:bCs/>
                                <w:color w:val="000000"/>
                                <w:kern w:val="2"/>
                                <w:sz w:val="21"/>
                                <w:szCs w:val="21"/>
                                <w:lang w:val="en-US" w:eastAsia="zh-CN" w:bidi="ar"/>
                              </w:rPr>
                              <w:t>操培训</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default" w:ascii="宋体" w:hAnsi="宋体" w:eastAsia="宋体" w:cs="宋体"/>
                                <w:b/>
                                <w:bCs/>
                                <w:color w:val="000000"/>
                                <w:kern w:val="2"/>
                                <w:sz w:val="21"/>
                                <w:szCs w:val="21"/>
                                <w:lang w:val="en-US" w:eastAsia="zh-CN" w:bidi="ar"/>
                              </w:rPr>
                              <w:t>2020年福</w:t>
                            </w:r>
                            <w:r>
                              <w:rPr>
                                <w:rFonts w:hint="default" w:ascii="Wingdings" w:hAnsi="Wingdings" w:eastAsia="宋体" w:cs="Wingdings"/>
                                <w:b/>
                                <w:bCs/>
                                <w:color w:val="000000"/>
                                <w:kern w:val="2"/>
                                <w:sz w:val="21"/>
                                <w:szCs w:val="21"/>
                                <w:lang w:val="en-US" w:eastAsia="zh-CN" w:bidi="ar"/>
                              </w:rPr>
                              <w:t>州软件职业技术</w:t>
                            </w:r>
                            <w:r>
                              <w:rPr>
                                <w:rFonts w:hint="default" w:ascii="宋体" w:hAnsi="宋体" w:eastAsia="宋体" w:cs="宋体"/>
                                <w:b/>
                                <w:bCs/>
                                <w:color w:val="000000"/>
                                <w:kern w:val="2"/>
                                <w:sz w:val="21"/>
                                <w:szCs w:val="21"/>
                                <w:lang w:val="en-US" w:eastAsia="zh-CN" w:bidi="ar"/>
                              </w:rPr>
                              <w:t>学院“3+2”五</w:t>
                            </w:r>
                            <w:r>
                              <w:rPr>
                                <w:rFonts w:hint="default" w:ascii="Wingdings" w:hAnsi="Wingdings" w:eastAsia="宋体" w:cs="Wingdings"/>
                                <w:b/>
                                <w:bCs/>
                                <w:color w:val="000000"/>
                                <w:kern w:val="2"/>
                                <w:sz w:val="21"/>
                                <w:szCs w:val="21"/>
                                <w:lang w:val="en-US" w:eastAsia="zh-CN" w:bidi="ar"/>
                              </w:rPr>
                              <w:t>年制高职联合办学工作会议</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u校企携手，“用心、尽心、专心”做好实践教学工作——经管系与利莱森玛共同开展实践教学</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14.85pt;height:214.9pt;width:408.4pt;z-index:251661312;mso-width-relative:page;mso-height-relative:page;" fillcolor="#FFFFFF [3201]" filled="t" stroked="t" coordsize="21600,21600" o:gfxdata="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wm+cNgAAAAJAQAADwAAAAAAAAABACAAAAAiAAAAZHJzL2Rvd25yZXYueG1sUEsB&#10;AhQAFAAAAAgAh07iQFJ1SohnAgAAxwQAAA4AAAAAAAAAAQAgAAAAJwEAAGRycy9lMm9Eb2MueG1s&#10;UEsFBgAAAAAGAAYAWQEAAAAGA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rPr>
                      </w:pPr>
                      <w:r>
                        <w:rPr>
                          <w:rFonts w:hint="default" w:ascii="Wingdings" w:hAnsi="Wingdings" w:eastAsia="宋体" w:cs="Wingdings"/>
                          <w:b/>
                          <w:bCs/>
                          <w:color w:val="000000"/>
                          <w:kern w:val="2"/>
                          <w:sz w:val="21"/>
                          <w:szCs w:val="21"/>
                          <w:lang w:val="en-US" w:eastAsia="zh-CN" w:bidi="ar"/>
                        </w:rPr>
                        <w:t>u我</w:t>
                      </w:r>
                      <w:r>
                        <w:rPr>
                          <w:rFonts w:hint="default" w:ascii="宋体" w:hAnsi="宋体" w:eastAsia="宋体" w:cs="宋体"/>
                          <w:b/>
                          <w:bCs/>
                          <w:color w:val="000000"/>
                          <w:kern w:val="2"/>
                          <w:sz w:val="21"/>
                          <w:szCs w:val="21"/>
                          <w:lang w:val="en-US" w:eastAsia="zh-CN" w:bidi="ar"/>
                        </w:rPr>
                        <w:t>院2项课题</w:t>
                      </w:r>
                      <w:r>
                        <w:rPr>
                          <w:rFonts w:hint="default" w:ascii="Wingdings" w:hAnsi="Wingdings" w:eastAsia="宋体" w:cs="Wingdings"/>
                          <w:b/>
                          <w:bCs/>
                          <w:color w:val="000000"/>
                          <w:kern w:val="2"/>
                          <w:sz w:val="21"/>
                          <w:szCs w:val="21"/>
                          <w:lang w:val="en-US" w:eastAsia="zh-CN" w:bidi="ar"/>
                        </w:rPr>
                        <w:t>获</w:t>
                      </w:r>
                      <w:r>
                        <w:rPr>
                          <w:rFonts w:hint="eastAsia" w:ascii="宋体" w:hAnsi="宋体" w:eastAsia="宋体" w:cs="宋体"/>
                          <w:b/>
                          <w:bCs/>
                          <w:color w:val="000000"/>
                          <w:kern w:val="2"/>
                          <w:sz w:val="21"/>
                          <w:szCs w:val="21"/>
                          <w:lang w:val="en-US" w:eastAsia="zh-CN" w:bidi="ar"/>
                        </w:rPr>
                        <w:t>2020年</w:t>
                      </w:r>
                      <w:r>
                        <w:rPr>
                          <w:rFonts w:hint="default" w:ascii="Wingdings" w:hAnsi="Wingdings" w:eastAsia="宋体" w:cs="Wingdings"/>
                          <w:b/>
                          <w:bCs/>
                          <w:color w:val="000000"/>
                          <w:kern w:val="2"/>
                          <w:sz w:val="21"/>
                          <w:szCs w:val="21"/>
                          <w:lang w:val="en-US" w:eastAsia="zh-CN" w:bidi="ar"/>
                        </w:rPr>
                        <w:t>福建省职业技术教育中心职业教育教学改革研究课题立项</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u我院举</w:t>
                      </w:r>
                      <w:r>
                        <w:rPr>
                          <w:rFonts w:hint="default" w:ascii="宋体" w:hAnsi="宋体" w:eastAsia="宋体" w:cs="宋体"/>
                          <w:b/>
                          <w:bCs/>
                          <w:color w:val="000000"/>
                          <w:kern w:val="2"/>
                          <w:sz w:val="21"/>
                          <w:szCs w:val="21"/>
                          <w:lang w:val="en-US" w:eastAsia="zh-CN" w:bidi="ar"/>
                        </w:rPr>
                        <w:t>办AI课件板书PPT实</w:t>
                      </w:r>
                      <w:r>
                        <w:rPr>
                          <w:rFonts w:hint="default" w:ascii="Wingdings" w:hAnsi="Wingdings" w:eastAsia="宋体" w:cs="Wingdings"/>
                          <w:b/>
                          <w:bCs/>
                          <w:color w:val="000000"/>
                          <w:kern w:val="2"/>
                          <w:sz w:val="21"/>
                          <w:szCs w:val="21"/>
                          <w:lang w:val="en-US" w:eastAsia="zh-CN" w:bidi="ar"/>
                        </w:rPr>
                        <w:t>操培训</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default" w:ascii="宋体" w:hAnsi="宋体" w:eastAsia="宋体" w:cs="宋体"/>
                          <w:b/>
                          <w:bCs/>
                          <w:color w:val="000000"/>
                          <w:kern w:val="2"/>
                          <w:sz w:val="21"/>
                          <w:szCs w:val="21"/>
                          <w:lang w:val="en-US" w:eastAsia="zh-CN" w:bidi="ar"/>
                        </w:rPr>
                        <w:t>2020年福</w:t>
                      </w:r>
                      <w:r>
                        <w:rPr>
                          <w:rFonts w:hint="default" w:ascii="Wingdings" w:hAnsi="Wingdings" w:eastAsia="宋体" w:cs="Wingdings"/>
                          <w:b/>
                          <w:bCs/>
                          <w:color w:val="000000"/>
                          <w:kern w:val="2"/>
                          <w:sz w:val="21"/>
                          <w:szCs w:val="21"/>
                          <w:lang w:val="en-US" w:eastAsia="zh-CN" w:bidi="ar"/>
                        </w:rPr>
                        <w:t>州软件职业技术</w:t>
                      </w:r>
                      <w:r>
                        <w:rPr>
                          <w:rFonts w:hint="default" w:ascii="宋体" w:hAnsi="宋体" w:eastAsia="宋体" w:cs="宋体"/>
                          <w:b/>
                          <w:bCs/>
                          <w:color w:val="000000"/>
                          <w:kern w:val="2"/>
                          <w:sz w:val="21"/>
                          <w:szCs w:val="21"/>
                          <w:lang w:val="en-US" w:eastAsia="zh-CN" w:bidi="ar"/>
                        </w:rPr>
                        <w:t>学院“3+2”五</w:t>
                      </w:r>
                      <w:r>
                        <w:rPr>
                          <w:rFonts w:hint="default" w:ascii="Wingdings" w:hAnsi="Wingdings" w:eastAsia="宋体" w:cs="Wingdings"/>
                          <w:b/>
                          <w:bCs/>
                          <w:color w:val="000000"/>
                          <w:kern w:val="2"/>
                          <w:sz w:val="21"/>
                          <w:szCs w:val="21"/>
                          <w:lang w:val="en-US" w:eastAsia="zh-CN" w:bidi="ar"/>
                        </w:rPr>
                        <w:t>年制高职联合办学工作会议</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u校企携手，“用心、尽心、专心”做好实践教学工作——经管系与利莱森玛共同开展实践教学</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p>
    <w:p>
      <w:pPr>
        <w:rPr>
          <w:rStyle w:val="17"/>
          <w:rFonts w:hint="eastAsia" w:ascii="宋体" w:hAnsi="宋体" w:eastAsia="宋体" w:cs="宋体"/>
          <w:b/>
          <w:bCs w:val="0"/>
          <w:i w:val="0"/>
          <w:iCs w:val="0"/>
          <w:sz w:val="28"/>
          <w:szCs w:val="28"/>
          <w:lang w:val="en-US" w:eastAsia="zh-CN" w:bidi="ar"/>
        </w:rPr>
      </w:pPr>
      <w:r>
        <w:rPr>
          <w:rFonts w:hint="eastAsia" w:ascii="宋体" w:hAnsi="宋体" w:eastAsia="宋体" w:cs="宋体"/>
          <w:b/>
          <w:bCs/>
          <w:kern w:val="0"/>
          <w:sz w:val="28"/>
          <w:szCs w:val="28"/>
          <w:lang w:val="en-US" w:eastAsia="zh-CN" w:bidi="ar"/>
        </w:rPr>
        <w:br w:type="page"/>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喜讯：我院2项课题获2020年福建省职业技术教育中心</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职业教育教学改革研究课题立项</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近日，福建省职业技术教育中心发布《关于2020年福建省职业技术教育中心职业教育教学改革研究课题立项评审结果的公示》 ，学院2项课题获批立项。分别是经济管理系副教授彭静老师的《线上翻转课堂教学设计对教学效果影响的实证研究》，项目批准号为GB2020033，容艺影视学院副院长林梦姗老师的《产教融合下数字媒体应用技术（影视特效与合成方向）专业课程体系建设与实践》，项目批准号为GB2020034。</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据悉，经福建省职业技术教育中心专家小组进行了网络及现场评审，经评审拟立项课题108项。其中，重点课题20项，一般课题 83项，委托课题5项。</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我院举办AI课件板书PPT实操培训</w:t>
      </w:r>
    </w:p>
    <w:p>
      <w:pPr>
        <w:keepNext w:val="0"/>
        <w:keepLines w:val="0"/>
        <w:widowControl w:val="0"/>
        <w:suppressLineNumbers w:val="0"/>
        <w:autoSpaceDE w:val="0"/>
        <w:autoSpaceDN/>
        <w:spacing w:before="0" w:beforeAutospacing="0" w:after="0" w:afterAutospacing="0" w:line="307" w:lineRule="auto"/>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为帮助教师顺利完成AI课件PPT板书认证，解决实操中存在的问题，提高教师通过AI课件生产技术开展在线课程资源建设能力，我院联合网龙网络公司于2020年11月17日在教学楼A501室举办AI课件板书PPT实操培训，学院全体专任教师参与培训。</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培训会上，教务科研处林土水处长介绍了此次培训的主要目的和要求，希望借助培训，帮助教师解决在AI课件制作中遇到的问题，促进教师在实践中领会AI课件的意义与价值。</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网龙网络公司工程师何燕洪围绕一级AI内容设计师认证，向教师介绍了AI课件板书PPT的相关标准、制作步骤、生产流程及实操注意点，同时针对教师在实际学习和操作中遇到的问题给予详尽地解答。</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3676650" cy="2752725"/>
            <wp:effectExtent l="0" t="0" r="11430" b="5715"/>
            <wp:docPr id="167" name="图片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4" descr="IMG_256"/>
                    <pic:cNvPicPr>
                      <a:picLocks noChangeAspect="1"/>
                    </pic:cNvPicPr>
                  </pic:nvPicPr>
                  <pic:blipFill>
                    <a:blip r:embed="rId6"/>
                    <a:stretch>
                      <a:fillRect/>
                    </a:stretch>
                  </pic:blipFill>
                  <pic:spPr>
                    <a:xfrm>
                      <a:off x="0" y="0"/>
                      <a:ext cx="3676650" cy="2752725"/>
                    </a:xfrm>
                    <a:prstGeom prst="rect">
                      <a:avLst/>
                    </a:prstGeom>
                    <a:noFill/>
                    <a:ln w="9525">
                      <a:noFill/>
                    </a:ln>
                  </pic:spPr>
                </pic:pic>
              </a:graphicData>
            </a:graphic>
          </wp:inline>
        </w:drawing>
      </w:r>
      <w:r>
        <w:rPr>
          <w:rFonts w:hint="default" w:ascii="Calibri" w:hAnsi="Calibri" w:eastAsia="宋体" w:cs="宋体"/>
          <w:kern w:val="0"/>
          <w:sz w:val="24"/>
          <w:szCs w:val="24"/>
          <w:lang w:val="en-US" w:eastAsia="zh-CN" w:bidi="ar"/>
        </w:rPr>
        <w:drawing>
          <wp:inline distT="0" distB="0" distL="114300" distR="114300">
            <wp:extent cx="3657600" cy="2876550"/>
            <wp:effectExtent l="0" t="0" r="0" b="3810"/>
            <wp:docPr id="168" name="图片 1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5" descr="IMG_257"/>
                    <pic:cNvPicPr>
                      <a:picLocks noChangeAspect="1"/>
                    </pic:cNvPicPr>
                  </pic:nvPicPr>
                  <pic:blipFill>
                    <a:blip r:embed="rId7"/>
                    <a:stretch>
                      <a:fillRect/>
                    </a:stretch>
                  </pic:blipFill>
                  <pic:spPr>
                    <a:xfrm>
                      <a:off x="0" y="0"/>
                      <a:ext cx="3657600" cy="2876550"/>
                    </a:xfrm>
                    <a:prstGeom prst="rect">
                      <a:avLst/>
                    </a:prstGeom>
                    <a:noFill/>
                    <a:ln w="9525">
                      <a:noFill/>
                    </a:ln>
                  </pic:spPr>
                </pic:pic>
              </a:graphicData>
            </a:graphic>
          </wp:inline>
        </w:drawing>
      </w:r>
      <w:r>
        <w:rPr>
          <w:rFonts w:hint="default" w:ascii="Calibri" w:hAnsi="Calibri" w:eastAsia="宋体" w:cs="宋体"/>
          <w:kern w:val="0"/>
          <w:sz w:val="24"/>
          <w:szCs w:val="24"/>
          <w:lang w:val="en-US" w:eastAsia="zh-CN" w:bidi="ar"/>
        </w:rPr>
        <w:drawing>
          <wp:inline distT="0" distB="0" distL="114300" distR="114300">
            <wp:extent cx="3733800" cy="2800350"/>
            <wp:effectExtent l="0" t="0" r="0" b="3810"/>
            <wp:docPr id="169" name="图片 15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6" descr="IMG_258"/>
                    <pic:cNvPicPr>
                      <a:picLocks noChangeAspect="1"/>
                    </pic:cNvPicPr>
                  </pic:nvPicPr>
                  <pic:blipFill>
                    <a:blip r:embed="rId8"/>
                    <a:stretch>
                      <a:fillRect/>
                    </a:stretch>
                  </pic:blipFill>
                  <pic:spPr>
                    <a:xfrm>
                      <a:off x="0" y="0"/>
                      <a:ext cx="3733800" cy="28003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2020年福州软件职业技术学院“3+2”五年制高职联合办学工作会议</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2020年11月18日星期三下午，福建经济学校信息与工程专业教学部2020年“3+2”五年制高职联合办学工作会议在福建经济学校召开。我校指派联合办学专业数字媒体教研室主任蒋逸凡与动漫制作技术专业教师郭抒婷参加此次会议。会议分为三个议程：第一阶段，福建经济学校黄健斌校长主持了本次议程。第二阶段由陈春华主任对本校联办专业建设方向以及专业建设总体概况做了相应介绍。第三阶段，各校代表对专业课程建设部分做讨论，并提出建议和看法。我校专业代表教师在两校联办专业上提出了很多具有建设性的建议和看法，并获得对方学校的肯定。双方教师代表将依据此次会议共识对五年制合作办学专业培养方案做进一步优化。</w:t>
      </w:r>
    </w:p>
    <w:p>
      <w:pPr>
        <w:pStyle w:val="9"/>
        <w:keepNext w:val="0"/>
        <w:keepLines w:val="0"/>
        <w:widowControl/>
        <w:suppressLineNumbers w:val="0"/>
        <w:spacing w:before="0" w:beforeAutospacing="1" w:after="0" w:afterAutospacing="1"/>
        <w:ind w:left="0" w:leftChars="0" w:right="0" w:firstLine="0" w:firstLineChars="0"/>
        <w:jc w:val="center"/>
        <w:rPr>
          <w:rFonts w:hint="eastAsia" w:ascii="宋体" w:hAnsi="宋体" w:eastAsia="宋体" w:cs="宋体"/>
          <w:kern w:val="0"/>
          <w:sz w:val="28"/>
          <w:szCs w:val="28"/>
        </w:rPr>
      </w:pPr>
      <w:r>
        <w:rPr>
          <w:rFonts w:hint="default" w:ascii="Calibri" w:hAnsi="Calibri" w:eastAsia="宋体" w:cs="宋体"/>
          <w:kern w:val="0"/>
          <w:sz w:val="20"/>
          <w:szCs w:val="20"/>
          <w:lang w:val="en-US" w:eastAsia="zh-CN" w:bidi="ar"/>
        </w:rPr>
        <w:drawing>
          <wp:inline distT="0" distB="0" distL="114300" distR="114300">
            <wp:extent cx="3333750" cy="2152650"/>
            <wp:effectExtent l="0" t="0" r="3810" b="11430"/>
            <wp:docPr id="164" name="图片 15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7" descr="IMG_259"/>
                    <pic:cNvPicPr>
                      <a:picLocks noChangeAspect="1"/>
                    </pic:cNvPicPr>
                  </pic:nvPicPr>
                  <pic:blipFill>
                    <a:blip r:embed="rId9"/>
                    <a:stretch>
                      <a:fillRect/>
                    </a:stretch>
                  </pic:blipFill>
                  <pic:spPr>
                    <a:xfrm>
                      <a:off x="0" y="0"/>
                      <a:ext cx="3333750" cy="21526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3314700" cy="2486025"/>
            <wp:effectExtent l="0" t="0" r="7620" b="13335"/>
            <wp:docPr id="163" name="图片 15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8" descr="IMG_260"/>
                    <pic:cNvPicPr>
                      <a:picLocks noChangeAspect="1"/>
                    </pic:cNvPicPr>
                  </pic:nvPicPr>
                  <pic:blipFill>
                    <a:blip r:embed="rId10"/>
                    <a:stretch>
                      <a:fillRect/>
                    </a:stretch>
                  </pic:blipFill>
                  <pic:spPr>
                    <a:xfrm>
                      <a:off x="0" y="0"/>
                      <a:ext cx="3314700" cy="2486025"/>
                    </a:xfrm>
                    <a:prstGeom prst="rect">
                      <a:avLst/>
                    </a:prstGeom>
                    <a:noFill/>
                    <a:ln w="9525">
                      <a:noFill/>
                    </a:ln>
                  </pic:spPr>
                </pic:pic>
              </a:graphicData>
            </a:graphic>
          </wp:inline>
        </w:drawing>
      </w:r>
      <w:r>
        <w:rPr>
          <w:rFonts w:hint="default" w:ascii="Calibri" w:hAnsi="Calibri" w:eastAsia="宋体" w:cs="宋体"/>
          <w:kern w:val="0"/>
          <w:sz w:val="24"/>
          <w:szCs w:val="24"/>
          <w:lang w:val="en-US" w:eastAsia="zh-CN" w:bidi="ar"/>
        </w:rPr>
        <w:drawing>
          <wp:inline distT="0" distB="0" distL="114300" distR="114300">
            <wp:extent cx="3314700" cy="2486025"/>
            <wp:effectExtent l="0" t="0" r="7620" b="13335"/>
            <wp:docPr id="165" name="图片 15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9" descr="IMG_261"/>
                    <pic:cNvPicPr>
                      <a:picLocks noChangeAspect="1"/>
                    </pic:cNvPicPr>
                  </pic:nvPicPr>
                  <pic:blipFill>
                    <a:blip r:embed="rId11"/>
                    <a:stretch>
                      <a:fillRect/>
                    </a:stretch>
                  </pic:blipFill>
                  <pic:spPr>
                    <a:xfrm>
                      <a:off x="0" y="0"/>
                      <a:ext cx="3314700" cy="2486025"/>
                    </a:xfrm>
                    <a:prstGeom prst="rect">
                      <a:avLst/>
                    </a:prstGeom>
                    <a:noFill/>
                    <a:ln w="9525">
                      <a:noFill/>
                    </a:ln>
                  </pic:spPr>
                </pic:pic>
              </a:graphicData>
            </a:graphic>
          </wp:inline>
        </w:drawing>
      </w:r>
      <w:r>
        <w:rPr>
          <w:rFonts w:hint="default" w:ascii="Calibri" w:hAnsi="Calibri" w:eastAsia="宋体" w:cs="宋体"/>
          <w:kern w:val="0"/>
          <w:sz w:val="24"/>
          <w:szCs w:val="24"/>
          <w:lang w:val="en-US" w:eastAsia="zh-CN" w:bidi="ar"/>
        </w:rPr>
        <w:drawing>
          <wp:inline distT="0" distB="0" distL="114300" distR="114300">
            <wp:extent cx="3343275" cy="2514600"/>
            <wp:effectExtent l="0" t="0" r="9525" b="0"/>
            <wp:docPr id="170" name="图片 16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0" descr="IMG_262"/>
                    <pic:cNvPicPr>
                      <a:picLocks noChangeAspect="1"/>
                    </pic:cNvPicPr>
                  </pic:nvPicPr>
                  <pic:blipFill>
                    <a:blip r:embed="rId12"/>
                    <a:stretch>
                      <a:fillRect/>
                    </a:stretch>
                  </pic:blipFill>
                  <pic:spPr>
                    <a:xfrm>
                      <a:off x="0" y="0"/>
                      <a:ext cx="3343275" cy="25146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校企携手，“用心、尽心、专心”做好实践教学工作</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——经管系与利莱森玛共同开展实践教学</w:t>
      </w:r>
    </w:p>
    <w:p>
      <w:pPr>
        <w:keepNext w:val="0"/>
        <w:keepLines w:val="0"/>
        <w:widowControl w:val="0"/>
        <w:suppressLineNumbers w:val="0"/>
        <w:autoSpaceDE w:val="0"/>
        <w:autoSpaceDN/>
        <w:spacing w:before="0" w:beforeAutospacing="0" w:after="0" w:afterAutospacing="0" w:line="307" w:lineRule="auto"/>
        <w:ind w:left="0" w:right="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Lines="200" w:afterAutospacing="0" w:line="307"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金秋十月，经管系副主任彭静、商贸教研室主任游筱婷、物流管理专业骨干教师蔡亮一行三人来到校企合作企业利莱森玛电机科技（福州）有限公司共同探讨18级学生实践教学工作。从9月1日至今，经管系18级物流管理专业和18级互联网金融专业共9名学生进入校企合作企业利莱森玛电机科技（福州）有限公司进行实践学习，他们分别在物流仓储、物流报关、成品发运，计划采购、策略采购、技术专员、质量管理、制造工艺、订单管理等岗位开展跟岗、顶岗实习。经管系与利莱森玛电机科技（福州）有限公司采用现代学徒制培养模式共同开展学生实践教学工作，企业给每一名实习生配备了能工巧匠担当师傅，训练学生岗位技能，除此以外，企业从学生的职业素养培养和技能提升出发，通过工作日报、周报、月报形式，锻炼学生熟练应用办公软件、演讲与口才、英语表达等通识能力。伴随企业的快速发展，企业将最新引进的信息化管理流程和方法运用于学生岗位实习训练，不仅扩大了学生视野，也为学生的持续发展提供了优秀的平台。</w:t>
      </w:r>
    </w:p>
    <w:p>
      <w:pPr>
        <w:keepNext w:val="0"/>
        <w:keepLines w:val="0"/>
        <w:widowControl w:val="0"/>
        <w:suppressLineNumbers w:val="0"/>
        <w:autoSpaceDE w:val="0"/>
        <w:autoSpaceDN/>
        <w:spacing w:before="0" w:beforeAutospacing="0" w:after="0" w:afterAutospacing="0" w:line="300" w:lineRule="auto"/>
        <w:ind w:left="0" w:right="0"/>
        <w:jc w:val="left"/>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5276850" cy="3962400"/>
            <wp:effectExtent l="0" t="0" r="11430" b="0"/>
            <wp:docPr id="166" name="图片 16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1" descr="IMG_263"/>
                    <pic:cNvPicPr>
                      <a:picLocks noChangeAspect="1"/>
                    </pic:cNvPicPr>
                  </pic:nvPicPr>
                  <pic:blipFill>
                    <a:blip r:embed="rId13"/>
                    <a:stretch>
                      <a:fillRect/>
                    </a:stretch>
                  </pic:blipFill>
                  <pic:spPr>
                    <a:xfrm>
                      <a:off x="0" y="0"/>
                      <a:ext cx="5276850" cy="39624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Lines="200" w:beforeAutospacing="0" w:after="0" w:afterLines="200" w:afterAutospacing="0" w:line="300" w:lineRule="auto"/>
        <w:ind w:left="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经过两个月的实践学习，学生已完全适应岗位实习工作，精神面貌积极向上，斗志昂扬。公司对学生的表现非常满意，表示这批同学脑子灵活、学习能力强，比较能吃苦。与同学们的座谈中也了解到学生对两个月以来的实习生活比较满意，感到能学以致用，而且公司提供了大量的学习机会和创新机会，让同学们能够充分展示自己的才华，例如加入流程改造团队，优化流程作业等，学生们为此感到骄傲。同时，企业指出学生的基本职业素养还有待提高，例如office等办公软件运用能力相对薄弱，沟通表达能力也有待提升。因此，系部在制定培养方案以及教学实施中，还应增强对学生计算机运用、沟通谈判、英语听说读写等通识能力的培养。</w:t>
      </w:r>
    </w:p>
    <w:p>
      <w:pPr>
        <w:keepNext w:val="0"/>
        <w:keepLines w:val="0"/>
        <w:widowControl/>
        <w:suppressLineNumbers w:val="0"/>
        <w:spacing w:before="0" w:beforeAutospacing="0" w:after="0" w:afterAutospacing="0"/>
        <w:ind w:left="0" w:right="0"/>
        <w:jc w:val="left"/>
      </w:pPr>
      <w:r>
        <w:rPr>
          <w:rFonts w:hint="default" w:ascii="Calibri" w:hAnsi="Calibri" w:eastAsia="宋体" w:cs="宋体"/>
          <w:kern w:val="0"/>
          <w:sz w:val="24"/>
          <w:szCs w:val="24"/>
          <w:lang w:val="en-US" w:eastAsia="zh-CN" w:bidi="ar"/>
        </w:rPr>
        <w:drawing>
          <wp:inline distT="0" distB="0" distL="114300" distR="114300">
            <wp:extent cx="5276850" cy="3962400"/>
            <wp:effectExtent l="0" t="0" r="11430" b="0"/>
            <wp:docPr id="171" name="图片 16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2" descr="IMG_264"/>
                    <pic:cNvPicPr>
                      <a:picLocks noChangeAspect="1"/>
                    </pic:cNvPicPr>
                  </pic:nvPicPr>
                  <pic:blipFill>
                    <a:blip r:embed="rId14"/>
                    <a:stretch>
                      <a:fillRect/>
                    </a:stretch>
                  </pic:blipFill>
                  <pic:spPr>
                    <a:xfrm>
                      <a:off x="0" y="0"/>
                      <a:ext cx="5276850" cy="3962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5D5AE7"/>
    <w:rsid w:val="08CA02E2"/>
    <w:rsid w:val="0B057460"/>
    <w:rsid w:val="0D492EF2"/>
    <w:rsid w:val="0DAE649D"/>
    <w:rsid w:val="14267D62"/>
    <w:rsid w:val="1581137D"/>
    <w:rsid w:val="16FD7E14"/>
    <w:rsid w:val="182A0257"/>
    <w:rsid w:val="1ADA6B24"/>
    <w:rsid w:val="1B2F59A1"/>
    <w:rsid w:val="21EC0DFA"/>
    <w:rsid w:val="22BE09DF"/>
    <w:rsid w:val="24103800"/>
    <w:rsid w:val="24E21572"/>
    <w:rsid w:val="25436A8D"/>
    <w:rsid w:val="2A6A6207"/>
    <w:rsid w:val="2C282A65"/>
    <w:rsid w:val="354A3DC9"/>
    <w:rsid w:val="35A3072E"/>
    <w:rsid w:val="37B00EE0"/>
    <w:rsid w:val="3DCE7A1C"/>
    <w:rsid w:val="3FBC0B08"/>
    <w:rsid w:val="490F1FEB"/>
    <w:rsid w:val="4B043B01"/>
    <w:rsid w:val="4CB42219"/>
    <w:rsid w:val="55904441"/>
    <w:rsid w:val="55FA3B29"/>
    <w:rsid w:val="572B7BC7"/>
    <w:rsid w:val="5D7A14C5"/>
    <w:rsid w:val="63D935CE"/>
    <w:rsid w:val="64935200"/>
    <w:rsid w:val="68DA2630"/>
    <w:rsid w:val="6BF0084F"/>
    <w:rsid w:val="6D063AAA"/>
    <w:rsid w:val="6F7C10CD"/>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paragraph" w:styleId="3">
    <w:name w:val="Body Text"/>
    <w:basedOn w:val="1"/>
    <w:next w:val="1"/>
    <w:qFormat/>
    <w:uiPriority w:val="1"/>
    <w:pPr>
      <w:ind w:left="140"/>
    </w:pPr>
    <w:rPr>
      <w:rFonts w:ascii="宋体" w:hAnsi="宋体" w:eastAsia="宋体"/>
      <w:sz w:val="32"/>
      <w:szCs w:val="32"/>
    </w:rPr>
  </w:style>
  <w:style w:type="paragraph" w:styleId="6">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 w:type="character" w:customStyle="1" w:styleId="16">
    <w:name w:val="10"/>
    <w:basedOn w:val="12"/>
    <w:qFormat/>
    <w:uiPriority w:val="0"/>
    <w:rPr>
      <w:rFonts w:hint="default" w:ascii="Times New Roman" w:hAnsi="Times New Roman" w:cs="Times New Roman"/>
    </w:rPr>
  </w:style>
  <w:style w:type="character" w:customStyle="1" w:styleId="17">
    <w:name w:val="15"/>
    <w:basedOn w:val="12"/>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1831</Words>
  <Characters>1909</Characters>
  <Lines>1</Lines>
  <Paragraphs>1</Paragraphs>
  <TotalTime>2</TotalTime>
  <ScaleCrop>false</ScaleCrop>
  <LinksUpToDate>false</LinksUpToDate>
  <CharactersWithSpaces>1941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2024-06-25T06:50:36Z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5C36E9291BBF4C39BE8C92C48C2A823D_13</vt:lpwstr>
  </property>
</Properties>
</file>