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00" w:beforeLines="0" w:beforeAutospacing="1" w:after="100" w:afterLines="0" w:afterAutospacing="1" w:line="336" w:lineRule="auto"/>
        <w:jc w:val="center"/>
        <w:rPr>
          <w:rFonts w:hint="eastAsia" w:ascii="宋体" w:hAnsi="宋体" w:eastAsia="宋体"/>
          <w:b/>
          <w:color w:val="FF0000"/>
          <w:sz w:val="72"/>
          <w:szCs w:val="72"/>
          <w:lang w:eastAsia="zh-CN"/>
        </w:rPr>
      </w:pPr>
      <w:r>
        <w:rPr>
          <w:rFonts w:hint="eastAsia" w:ascii="宋体" w:hAnsi="宋体" w:eastAsia="宋体"/>
          <w:b/>
          <w:color w:val="FF0000"/>
          <w:sz w:val="72"/>
          <w:szCs w:val="72"/>
          <w:lang w:eastAsia="zh-CN"/>
        </w:rPr>
        <w:drawing>
          <wp:inline distT="0" distB="0" distL="114300" distR="114300">
            <wp:extent cx="3329940" cy="953135"/>
            <wp:effectExtent l="0" t="0" r="0" b="0"/>
            <wp:docPr id="1" name="图片 1" descr="校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校标2"/>
                    <pic:cNvPicPr>
                      <a:picLocks noChangeAspect="1"/>
                    </pic:cNvPicPr>
                  </pic:nvPicPr>
                  <pic:blipFill>
                    <a:blip r:embed="rId5"/>
                    <a:stretch>
                      <a:fillRect/>
                    </a:stretch>
                  </pic:blipFill>
                  <pic:spPr>
                    <a:xfrm>
                      <a:off x="0" y="0"/>
                      <a:ext cx="3329940" cy="953135"/>
                    </a:xfrm>
                    <a:prstGeom prst="rect">
                      <a:avLst/>
                    </a:prstGeom>
                    <a:noFill/>
                    <a:ln w="9525">
                      <a:noFill/>
                    </a:ln>
                  </pic:spPr>
                </pic:pic>
              </a:graphicData>
            </a:graphic>
          </wp:inline>
        </w:drawing>
      </w:r>
    </w:p>
    <w:p>
      <w:pPr>
        <w:spacing w:before="100" w:beforeLines="0" w:beforeAutospacing="1" w:after="100" w:afterLines="0" w:afterAutospacing="1"/>
        <w:jc w:val="center"/>
        <w:rPr>
          <w:rFonts w:hint="eastAsia" w:ascii="宋体" w:hAnsi="宋体"/>
          <w:b/>
          <w:color w:val="FF0000"/>
          <w:sz w:val="104"/>
          <w:szCs w:val="84"/>
        </w:rPr>
      </w:pPr>
      <w:r>
        <w:rPr>
          <w:rFonts w:hint="eastAsia" w:ascii="宋体" w:hAnsi="宋体"/>
          <w:b/>
          <w:color w:val="FF0000"/>
          <w:sz w:val="104"/>
          <w:szCs w:val="84"/>
        </w:rPr>
        <w:t>评建工作简报</w:t>
      </w:r>
    </w:p>
    <w:p>
      <w:pPr>
        <w:spacing w:before="100" w:beforeLines="0" w:beforeAutospacing="1" w:after="100" w:afterLines="0" w:afterAutospacing="1" w:line="500" w:lineRule="exact"/>
        <w:jc w:val="center"/>
        <w:rPr>
          <w:rFonts w:hint="eastAsia" w:ascii="宋体" w:hAnsi="宋体"/>
          <w:sz w:val="30"/>
          <w:szCs w:val="30"/>
        </w:rPr>
      </w:pPr>
      <w:r>
        <w:rPr>
          <w:rFonts w:hint="eastAsia" w:ascii="宋体" w:hAnsi="宋体"/>
          <w:color w:val="000000"/>
          <w:sz w:val="30"/>
          <w:szCs w:val="30"/>
        </w:rPr>
        <w:t xml:space="preserve">第 </w:t>
      </w:r>
      <w:r>
        <w:rPr>
          <w:rFonts w:hint="eastAsia" w:ascii="宋体" w:hAnsi="宋体"/>
          <w:color w:val="000000"/>
          <w:sz w:val="30"/>
          <w:szCs w:val="30"/>
          <w:lang w:val="en-US" w:eastAsia="zh-CN"/>
        </w:rPr>
        <w:t>11</w:t>
      </w:r>
      <w:r>
        <w:rPr>
          <w:rFonts w:hint="eastAsia" w:ascii="宋体" w:hAnsi="宋体"/>
          <w:color w:val="000000"/>
          <w:sz w:val="30"/>
          <w:szCs w:val="30"/>
        </w:rPr>
        <w:t xml:space="preserve"> 期</w:t>
      </w:r>
    </w:p>
    <w:p>
      <w:pPr>
        <w:spacing w:before="100" w:beforeLines="0" w:beforeAutospacing="1" w:after="100" w:afterLines="0" w:afterAutospacing="1" w:line="500" w:lineRule="exact"/>
        <w:jc w:val="left"/>
        <w:rPr>
          <w:rFonts w:hint="eastAsia" w:ascii="宋体" w:hAnsi="宋体"/>
          <w:color w:val="000000"/>
          <w:sz w:val="30"/>
          <w:szCs w:val="30"/>
        </w:rPr>
      </w:pPr>
      <w:r>
        <w:rPr>
          <w:rFonts w:hint="eastAsia" w:ascii="宋体" w:hAnsi="宋体"/>
          <w:color w:val="000000"/>
          <w:sz w:val="30"/>
          <w:szCs w:val="30"/>
        </w:rPr>
        <w:t>福州</w:t>
      </w:r>
      <w:r>
        <w:rPr>
          <w:rFonts w:hint="eastAsia" w:ascii="宋体" w:hAnsi="宋体"/>
          <w:color w:val="000000"/>
          <w:sz w:val="30"/>
          <w:szCs w:val="30"/>
          <w:lang w:eastAsia="zh-CN"/>
        </w:rPr>
        <w:t>软件</w:t>
      </w:r>
      <w:r>
        <w:rPr>
          <w:rFonts w:hint="eastAsia" w:ascii="宋体" w:hAnsi="宋体"/>
          <w:color w:val="000000"/>
          <w:sz w:val="30"/>
          <w:szCs w:val="30"/>
        </w:rPr>
        <w:t>职业技术学院评建工作办公室编    201</w:t>
      </w:r>
      <w:r>
        <w:rPr>
          <w:rFonts w:hint="eastAsia" w:ascii="宋体" w:hAnsi="宋体"/>
          <w:color w:val="000000"/>
          <w:sz w:val="30"/>
          <w:szCs w:val="30"/>
          <w:lang w:val="en-US" w:eastAsia="zh-CN"/>
        </w:rPr>
        <w:t>9</w:t>
      </w:r>
      <w:r>
        <w:rPr>
          <w:rFonts w:hint="eastAsia" w:ascii="宋体" w:hAnsi="宋体"/>
          <w:color w:val="000000"/>
          <w:sz w:val="30"/>
          <w:szCs w:val="30"/>
        </w:rPr>
        <w:t xml:space="preserve">年 </w:t>
      </w:r>
      <w:r>
        <w:rPr>
          <w:rFonts w:hint="eastAsia" w:ascii="宋体" w:hAnsi="宋体"/>
          <w:color w:val="000000"/>
          <w:sz w:val="30"/>
          <w:szCs w:val="30"/>
          <w:lang w:val="en-US" w:eastAsia="zh-CN"/>
        </w:rPr>
        <w:t>6</w:t>
      </w:r>
      <w:r>
        <w:rPr>
          <w:rFonts w:hint="eastAsia" w:ascii="宋体" w:hAnsi="宋体"/>
          <w:color w:val="000000"/>
          <w:sz w:val="30"/>
          <w:szCs w:val="30"/>
        </w:rPr>
        <w:t>月</w:t>
      </w:r>
      <w:r>
        <w:rPr>
          <w:rFonts w:hint="eastAsia" w:ascii="宋体" w:hAnsi="宋体"/>
          <w:color w:val="000000"/>
          <w:sz w:val="30"/>
          <w:szCs w:val="30"/>
          <w:lang w:val="en-US" w:eastAsia="zh-CN"/>
        </w:rPr>
        <w:t>12</w:t>
      </w:r>
      <w:r>
        <w:rPr>
          <w:rFonts w:hint="eastAsia" w:ascii="宋体" w:hAnsi="宋体"/>
          <w:color w:val="000000"/>
          <w:sz w:val="30"/>
          <w:szCs w:val="30"/>
        </w:rPr>
        <w:t>日</w:t>
      </w:r>
    </w:p>
    <w:p>
      <w:pPr>
        <w:spacing w:before="100" w:beforeLines="0" w:beforeAutospacing="1" w:after="100" w:afterLines="0" w:afterAutospacing="1" w:line="500" w:lineRule="exact"/>
        <w:jc w:val="left"/>
        <w:rPr>
          <w:rFonts w:hint="eastAsia"/>
          <w:color w:val="000000"/>
          <w:sz w:val="30"/>
          <w:szCs w:val="30"/>
        </w:rPr>
      </w:pPr>
      <w:r>
        <w:rPr>
          <w:color w:val="000000"/>
          <w:sz w:val="30"/>
          <w:szCs w:val="30"/>
        </w:rPr>
        <mc:AlternateContent>
          <mc:Choice Requires="wpg">
            <w:drawing>
              <wp:inline distT="0" distB="0" distL="114300" distR="114300">
                <wp:extent cx="5257800" cy="3070860"/>
                <wp:effectExtent l="0" t="0" r="0" b="0"/>
                <wp:docPr id="56" name="组合 56"/>
                <wp:cNvGraphicFramePr/>
                <a:graphic xmlns:a="http://schemas.openxmlformats.org/drawingml/2006/main">
                  <a:graphicData uri="http://schemas.microsoft.com/office/word/2010/wordprocessingGroup">
                    <wpg:wgp>
                      <wpg:cNvGrpSpPr/>
                      <wpg:grpSpPr>
                        <a:xfrm>
                          <a:off x="0" y="0"/>
                          <a:ext cx="5257800" cy="3070860"/>
                          <a:chOff x="0" y="0"/>
                          <a:chExt cx="7200" cy="4212"/>
                        </a:xfrm>
                      </wpg:grpSpPr>
                      <wps:wsp>
                        <wps:cNvPr id="2" name="矩形 2"/>
                        <wps:cNvSpPr>
                          <a:spLocks noRot="1" noChangeAspect="1" noTextEdit="1"/>
                        </wps:cNvSpPr>
                        <wps:spPr>
                          <a:xfrm>
                            <a:off x="0" y="0"/>
                            <a:ext cx="7200" cy="4212"/>
                          </a:xfrm>
                          <a:prstGeom prst="rect">
                            <a:avLst/>
                          </a:prstGeom>
                          <a:noFill/>
                          <a:ln w="9525">
                            <a:noFill/>
                          </a:ln>
                        </wps:spPr>
                        <wps:bodyPr upright="1"/>
                      </wps:wsp>
                      <wps:wsp>
                        <wps:cNvPr id="3" name="直接连接符 3"/>
                        <wps:cNvCnPr/>
                        <wps:spPr>
                          <a:xfrm>
                            <a:off x="0" y="3669"/>
                            <a:ext cx="7200" cy="0"/>
                          </a:xfrm>
                          <a:prstGeom prst="line">
                            <a:avLst/>
                          </a:prstGeom>
                          <a:ln w="19050" cap="flat" cmpd="sng">
                            <a:solidFill>
                              <a:srgbClr val="FF0000"/>
                            </a:solidFill>
                            <a:prstDash val="solid"/>
                            <a:headEnd type="none" w="med" len="med"/>
                            <a:tailEnd type="none" w="med" len="med"/>
                          </a:ln>
                        </wps:spPr>
                        <wps:bodyPr upright="1"/>
                      </wps:wsp>
                    </wpg:wgp>
                  </a:graphicData>
                </a:graphic>
              </wp:inline>
            </w:drawing>
          </mc:Choice>
          <mc:Fallback>
            <w:pict>
              <v:group id="_x0000_s1026" o:spid="_x0000_s1026" o:spt="203" style="height:241.8pt;width:414pt;" coordsize="7200,4212" o:gfxdata="UEsDBAoAAAAAAIdO4kAAAAAAAAAAAAAAAAAEAAAAZHJzL1BLAwQUAAAACACHTuJAn1iWiNUAAAAF&#10;AQAADwAAAGRycy9kb3ducmV2LnhtbE2PQUvDQBCF74L/YRnBm92k1RJiNkWKeiqCrSDeptlpEpqd&#10;Ddlt0v57Ry96efB4w3vfFKuz69RIQ2g9G0hnCSjiytuWawMfu5e7DFSIyBY7z2TgQgFW5fVVgbn1&#10;E7/TuI21khIOORpoYuxzrUPVkMMw8z2xZAc/OIxih1rbAScpd52eJ8lSO2xZFhrsad1QddyenIHX&#10;CaenRfo8bo6H9eVr9/D2uUnJmNubNHkEFekc/47hB1/QoRSmvT+xDaozII/EX5Usm2di9wbus8US&#10;dFno//TlN1BLAwQUAAAACACHTuJA2B9ctcUCAACzBgAADgAAAGRycy9lMm9Eb2MueG1svVXNbhMx&#10;EL4j8Q6W73Q3CUnbVTYVappeKqhoeQDX69218NqW7WSTOwdOiHslkJBAQuLIDSGeppTHYOzdbGkr&#10;ICoSOTj+mRnP983n2fHeshJowYzlSqa4txVjxCRVGZdFip+dzh7sYGQdkRkRSrIUr5jFe5P798a1&#10;TlhflUpkzCAIIm1S6xSXzukkiiwtWUXsltJMwmGuTEUcLE0RZYbUEL0SUT+OR1GtTKaNosxa2J02&#10;h7iNaDYJqPKcUzZVdF4x6ZqohgniAJItubZ4ErLNc0bdkzy3zCGRYkDqwgiXwPzMj9FkTJLCEF1y&#10;2qZANknhBqaKcAmXdqGmxBE0N/xWqIpTo6zK3RZVVdQACYwAil58g5tDo+Y6YCmSutAd6VCoG6zf&#10;OSx9vDg2iGcpHo4wkqSCil9+eXHx+iWCDWCn1kUCRodGn+hj024UzcoDXuam8v8ABS0Dr6uOV7Z0&#10;iMLmsD/c3omBcgpng3g73hm1zNMSynPLj5YHrec2KKZxe9jv9X0+0frKyGfWJVJrUKO9osj+G0Un&#10;JdEsMG89+paifsfQ248XX9+hkJC/GUw8O54Hq48UfW6RVE8VqK0HLmq/JLJgj6wGObZbp8DNQcbD&#10;0qO6FsUvbBtvE37/wBJJtLHukKkK+UmKDeQQlEoWR9Y1hK5NfP5SzbgQsE8SIVGd4l2oXnDoTqAE&#10;QrY5N2n6hM9UtgKe5trworyGC+ridfQfCjToCnT++fur9z++vYHx8tMHNGikHCq1L1sd/4XkwWi0&#10;691IstbxFc9Bvp0Ub5EsuPTqIclvSG6Y7e3GQ69uAl00h+4F00pnKbayCM5WCZ75avhI1hRn+8Kg&#10;BYFONpvF8GufwzUzX8opsWVjF44aDCUj2YHMkFtpeOISWjv21a1YhpFg8CXws4DWES42sbyTDMKr&#10;hV4WHnLbd32z/HUdpHX1rZn8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J9YlojVAAAABQEAAA8A&#10;AAAAAAAAAQAgAAAAIgAAAGRycy9kb3ducmV2LnhtbFBLAQIUABQAAAAIAIdO4kDYH1y1xQIAALMG&#10;AAAOAAAAAAAAAAEAIAAAACQBAABkcnMvZTJvRG9jLnhtbFBLBQYAAAAABgAGAFkBAABbBgAAAAA=&#10;">
                <o:lock v:ext="edit" aspectratio="f"/>
                <v:rect id="_x0000_s1026" o:spid="_x0000_s1026" o:spt="1" style="position:absolute;left:0;top:0;height:4212;width:7200;" filled="f" stroked="f" coordsize="21600,21600" o:gfxdata="UEsDBAoAAAAAAIdO4kAAAAAAAAAAAAAAAAAEAAAAZHJzL1BLAwQUAAAACACHTuJAPOq3OrwAAADa&#10;AAAADwAAAGRycy9kb3ducmV2LnhtbEWPQYvCMBSE74L/ITzBi9hUD7JUUw+CWBZBrLueH82zLTYv&#10;tcm2+u/NwsIeh5n5htlsn6YRPXWutqxgEcUgiAuray4VfF328w8QziNrbCyTghc52Kbj0QYTbQc+&#10;U5/7UgQIuwQVVN63iZSuqMigi2xLHLyb7Qz6ILtS6g6HADeNXMbxShqsOSxU2NKuouKe/xgFQ3Hq&#10;r5fjQZ5m18zyI3vs8u9PpaaTRbwG4enp/8N/7UwrWMLvlXADZPo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zqtzq8AAAA&#10;2gAAAA8AAAAAAAAAAQAgAAAAIgAAAGRycy9kb3ducmV2LnhtbFBLAQIUABQAAAAIAIdO4kAzLwWe&#10;OwAAADkAAAAQAAAAAAAAAAEAIAAAAAsBAABkcnMvc2hhcGV4bWwueG1sUEsFBgAAAAAGAAYAWwEA&#10;ALUDAAAAAA==&#10;">
                  <v:fill on="f" focussize="0,0"/>
                  <v:stroke on="f"/>
                  <v:imagedata o:title=""/>
                  <o:lock v:ext="edit" rotation="t" text="t" aspectratio="t"/>
                </v:rect>
                <v:line id="_x0000_s1026" o:spid="_x0000_s1026" o:spt="20" style="position:absolute;left:0;top:3669;height:0;width:7200;" filled="f" stroked="t" coordsize="21600,21600" o:gfxdata="UEsDBAoAAAAAAIdO4kAAAAAAAAAAAAAAAAAEAAAAZHJzL1BLAwQUAAAACACHTuJAMtErpr0AAADa&#10;AAAADwAAAGRycy9kb3ducmV2LnhtbEWPQWuDQBSE74X8h+UFemtWG7DBuOYghHgIhNgemtvDfVGJ&#10;+1bcrdp/3y0Uehxm5hsmOyymFxONrrOsIN5EIIhrqztuFHy8H192IJxH1thbJgXf5OCQr54yTLWd&#10;+UpT5RsRIOxSVNB6P6RSurolg25jB+Lg3e1o0Ac5NlKPOAe46eVrFCXSYMdhocWBipbqR/VlFHxe&#10;TpfhXBSJLW+neWmSuLq+9Uo9r+NoD8LT4v/Df+1SK9jC75VwA2T+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0SumvQAA&#10;ANoAAAAPAAAAAAAAAAEAIAAAACIAAABkcnMvZG93bnJldi54bWxQSwECFAAUAAAACACHTuJAMy8F&#10;njsAAAA5AAAAEAAAAAAAAAABACAAAAAMAQAAZHJzL3NoYXBleG1sLnhtbFBLBQYAAAAABgAGAFsB&#10;AAC2AwAAAAA=&#10;">
                  <v:fill on="f" focussize="0,0"/>
                  <v:stroke weight="1.5pt" color="#FF0000" joinstyle="round"/>
                  <v:imagedata o:title=""/>
                  <o:lock v:ext="edit" aspectratio="f"/>
                </v:line>
                <w10:wrap type="none"/>
                <w10:anchorlock/>
              </v:group>
            </w:pict>
          </mc:Fallback>
        </mc:AlternateContent>
      </w:r>
    </w:p>
    <w:p>
      <w:pPr>
        <w:spacing w:before="100" w:beforeLines="0" w:beforeAutospacing="1" w:after="100" w:afterLines="0" w:afterAutospacing="1" w:line="400" w:lineRule="exact"/>
        <w:jc w:val="left"/>
        <w:rPr>
          <w:color w:val="000000"/>
          <w:sz w:val="30"/>
          <w:szCs w:val="30"/>
        </w:rPr>
      </w:pPr>
      <w:r>
        <w:rPr>
          <w:rFonts w:hint="eastAsia" w:ascii="黑体" w:eastAsia="黑体"/>
          <w:b/>
          <w:color w:val="000000"/>
          <w:sz w:val="24"/>
          <w:lang w:val="en-US" w:eastAsia="zh-CN"/>
        </w:rPr>
        <w:t xml:space="preserve">    </w:t>
      </w:r>
      <w:r>
        <w:rPr>
          <w:rFonts w:ascii="黑体" w:eastAsia="黑体"/>
          <w:b/>
          <w:color w:val="000000"/>
          <w:sz w:val="24"/>
        </w:rPr>
        <w:t>[编者语]</w:t>
      </w:r>
      <w:r>
        <w:rPr>
          <w:rFonts w:ascii="黑体" w:eastAsia="黑体"/>
          <w:color w:val="000000"/>
          <w:sz w:val="24"/>
        </w:rPr>
        <w:t xml:space="preserve"> </w:t>
      </w:r>
      <w:r>
        <w:rPr>
          <w:rFonts w:hint="eastAsia" w:ascii="黑体" w:eastAsia="黑体"/>
          <w:color w:val="000000"/>
          <w:sz w:val="24"/>
        </w:rPr>
        <w:t>《评建工作简报》是为配合我院迎接高职高专人才培养工作评估而编发的，旨在及时传达教育部、省教育厅有关指示精神和学院的相关规定，反映学院迎接高职高专人才培养工作评估的动态，服务于学院教育教学改革和评建工作，以期达到“以评促建、以评促改、以评促管、</w:t>
      </w:r>
      <w:r>
        <w:rPr>
          <w:rFonts w:hint="eastAsia" w:ascii="黑体" w:eastAsia="黑体"/>
          <w:color w:val="000000"/>
          <w:sz w:val="24"/>
          <w:lang w:val="en-US" w:eastAsia="zh-CN"/>
        </w:rPr>
        <w:t>以评促强</w:t>
      </w:r>
      <w:bookmarkStart w:id="0" w:name="_GoBack"/>
      <w:bookmarkEnd w:id="0"/>
      <w:r>
        <w:rPr>
          <w:rFonts w:hint="eastAsia" w:ascii="黑体" w:eastAsia="黑体"/>
          <w:color w:val="000000"/>
          <w:sz w:val="24"/>
        </w:rPr>
        <w:t>”的目的，促进我院教育教学工作迈上新台阶。</w:t>
      </w:r>
    </w:p>
    <w:p>
      <w:pPr>
        <w:spacing w:before="100" w:beforeLines="0" w:beforeAutospacing="1" w:after="100" w:afterLines="0" w:afterAutospacing="1" w:line="360" w:lineRule="auto"/>
        <w:ind w:firstLine="470" w:firstLineChars="196"/>
        <w:rPr>
          <w:rFonts w:ascii="Arial Unicode MS" w:hAnsi="Arial Unicode MS"/>
          <w:sz w:val="24"/>
        </w:rPr>
      </w:pPr>
      <w:r>
        <w:rPr>
          <w:rFonts w:hint="eastAsia" w:ascii="黑体" w:eastAsia="黑体"/>
          <w:color w:val="000000"/>
          <w:sz w:val="24"/>
        </w:rPr>
        <w:t>我们欢迎各位读者提出宝贵意见和建议，并提供有关评建工作的信息。</w:t>
      </w:r>
      <w:r>
        <w:rPr>
          <w:b/>
          <w:color w:val="000000"/>
        </w:rPr>
        <w:t xml:space="preserve">        </w:t>
      </w:r>
    </w:p>
    <w:tbl>
      <w:tblPr>
        <w:tblStyle w:val="6"/>
        <w:tblpPr w:leftFromText="180" w:rightFromText="180" w:vertAnchor="page" w:horzAnchor="page" w:tblpX="1952" w:tblpY="10578"/>
        <w:tblOverlap w:val="never"/>
        <w:tblW w:w="7980" w:type="dxa"/>
        <w:tblInd w:w="0" w:type="dxa"/>
        <w:tblBorders>
          <w:top w:val="single" w:color="008000" w:sz="6" w:space="0"/>
          <w:left w:val="single" w:color="008000" w:sz="6" w:space="0"/>
          <w:bottom w:val="single" w:color="008000" w:sz="6" w:space="0"/>
          <w:right w:val="single" w:color="008000" w:sz="6" w:space="0"/>
          <w:insideH w:val="none" w:color="auto" w:sz="0" w:space="0"/>
          <w:insideV w:val="none" w:color="auto" w:sz="0" w:space="0"/>
        </w:tblBorders>
        <w:tblLayout w:type="fixed"/>
        <w:tblCellMar>
          <w:top w:w="0" w:type="dxa"/>
          <w:left w:w="108" w:type="dxa"/>
          <w:bottom w:w="0" w:type="dxa"/>
          <w:right w:w="108" w:type="dxa"/>
        </w:tblCellMar>
      </w:tblPr>
      <w:tblGrid>
        <w:gridCol w:w="7980"/>
      </w:tblGrid>
      <w:tr>
        <w:tblPrEx>
          <w:tblBorders>
            <w:top w:val="single" w:color="008000" w:sz="6" w:space="0"/>
            <w:left w:val="single" w:color="008000" w:sz="6" w:space="0"/>
            <w:bottom w:val="single" w:color="008000" w:sz="6" w:space="0"/>
            <w:right w:val="single" w:color="008000" w:sz="6" w:space="0"/>
            <w:insideH w:val="none" w:color="auto" w:sz="0" w:space="0"/>
            <w:insideV w:val="none" w:color="auto" w:sz="0" w:space="0"/>
          </w:tblBorders>
          <w:tblCellMar>
            <w:top w:w="0" w:type="dxa"/>
            <w:left w:w="108" w:type="dxa"/>
            <w:bottom w:w="0" w:type="dxa"/>
            <w:right w:w="108" w:type="dxa"/>
          </w:tblCellMar>
        </w:tblPrEx>
        <w:trPr>
          <w:trHeight w:val="3073" w:hRule="atLeast"/>
        </w:trPr>
        <w:tc>
          <w:tcPr>
            <w:tcW w:w="7980" w:type="dxa"/>
            <w:noWrap w:val="0"/>
            <w:vAlign w:val="top"/>
          </w:tcPr>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建筑工程系教师参观实训室建设</w:t>
            </w:r>
          </w:p>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服务区域经济、服务社会发展、服务行业企业，校企合作促进人才供需要求</w:t>
            </w:r>
          </w:p>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我院召开</w:t>
            </w:r>
            <w:r>
              <w:rPr>
                <w:rFonts w:hint="eastAsia" w:ascii="宋体" w:hAnsi="宋体" w:eastAsia="宋体" w:cs="宋体"/>
                <w:b/>
                <w:bCs/>
                <w:color w:val="000000"/>
              </w:rPr>
              <w:t>AR/VR</w:t>
            </w:r>
            <w:r>
              <w:rPr>
                <w:rFonts w:hint="eastAsia" w:ascii="Wingdings" w:hAnsi="Wingdings" w:eastAsia="Wingdings" w:cs="Wingdings"/>
                <w:b/>
                <w:bCs/>
                <w:color w:val="000000"/>
              </w:rPr>
              <w:t>未来教室条件下的信息化课堂教学应用专题报告</w:t>
            </w:r>
          </w:p>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建筑工程系说课比赛</w:t>
            </w:r>
          </w:p>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建筑工程系评估工作进度汇报会议</w:t>
            </w:r>
          </w:p>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游戏产业学院远赴吉林动画学院开展专业调研活动</w:t>
            </w:r>
          </w:p>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日本广岛大学副理事难波博孝教授来校参观访问</w:t>
            </w:r>
          </w:p>
          <w:p>
            <w:pPr>
              <w:keepNext w:val="0"/>
              <w:keepLines w:val="0"/>
              <w:pageBreakBefore w:val="0"/>
              <w:kinsoku/>
              <w:wordWrap/>
              <w:overflowPunct/>
              <w:topLinePunct w:val="0"/>
              <w:autoSpaceDE/>
              <w:autoSpaceDN/>
              <w:bidi w:val="0"/>
              <w:adjustRightInd/>
              <w:snapToGrid/>
              <w:spacing w:line="500" w:lineRule="exact"/>
              <w:textAlignment w:val="auto"/>
              <w:outlineLvl w:val="9"/>
              <w:rPr>
                <w:rFonts w:hint="eastAsia" w:ascii="宋体" w:hAnsi="宋体" w:eastAsia="宋体" w:cs="宋体"/>
                <w:b/>
                <w:bCs/>
                <w:kern w:val="0"/>
                <w:sz w:val="28"/>
                <w:szCs w:val="28"/>
                <w:lang w:val="en-US" w:eastAsia="zh-CN"/>
              </w:rPr>
            </w:pPr>
          </w:p>
        </w:tc>
      </w:tr>
    </w:tbl>
    <w:p>
      <w:r>
        <w:br w:type="page"/>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建筑工程系教师参观实训室建设</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为切实了解实训室建设，从而更好了解学生学习环境，2019年5月22日系部组织全体教师参观实训室建设。</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参加本次实训室建设活动人员有：系主任吕钢老师、系副主任余秀娣老师、系秘书李伟娜老师、室内设计教研室主任郑善良老师、建筑教研室主任吴健平老师、专职教师林思琦老师、陈露衫老师、蔡元惺老师、王建平老师、陈艳老师、兰臻老师。</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451225"/>
            <wp:effectExtent l="0" t="0" r="6350" b="15875"/>
            <wp:docPr id="86" name="图片 81" descr="1560173862664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1" descr="1560173862664841.jpg"/>
                    <pic:cNvPicPr>
                      <a:picLocks noChangeAspect="1"/>
                    </pic:cNvPicPr>
                  </pic:nvPicPr>
                  <pic:blipFill>
                    <a:blip r:embed="rId6"/>
                    <a:stretch>
                      <a:fillRect/>
                    </a:stretch>
                  </pic:blipFill>
                  <pic:spPr>
                    <a:xfrm>
                      <a:off x="0" y="0"/>
                      <a:ext cx="4679950" cy="345122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建筑工程系的实训室和教研室办公室共有11间，分别是：F604计量计价实训室，F614BIM建筑信息化实训室，F616二维三维软件实训室，J601识图与制图实训室，J602室内设计工作室，J603招标投标实训室，F608软装物料实训室，F609建筑教研室办公室，F610室内设计教研室办公室，F615建筑材料样板实训室，J606画室。参观过程中教师们相互讨论，积极提出各自的意见或建议。</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87" name="图片 82" descr="1560173893102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2" descr="1560173893102450.jpg"/>
                    <pic:cNvPicPr>
                      <a:picLocks noChangeAspect="1"/>
                    </pic:cNvPicPr>
                  </pic:nvPicPr>
                  <pic:blipFill>
                    <a:blip r:embed="rId7"/>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最后，吕钢主任提出由各个教研室主任汇总教师们对实训室和办公室的意见建议，确定最终要申报的设备及材料等具体内容，电子版发给系秘书李伟娜老师。 </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服务区域经济、服务社会发展、服务行业企业，</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校企合作促进人才供需要求</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福州软件职业技术学院举办2019届校园供需见面会</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2019年5月28日下午，福州软件职业技术学院2019届毕业生供需见面会在学院教学楼一层隆重召开。</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119755"/>
            <wp:effectExtent l="0" t="0" r="6350" b="4445"/>
            <wp:docPr id="93" name="图片 88" descr="1569123850823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88" descr="1569123850823413.png"/>
                    <pic:cNvPicPr>
                      <a:picLocks noChangeAspect="1"/>
                    </pic:cNvPicPr>
                  </pic:nvPicPr>
                  <pic:blipFill>
                    <a:blip r:embed="rId8"/>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次供需见面会由中国海峡人才市场、建筑人才市场协办，福州软件职业技术学院主办。本场供需见面会共吸引了网龙集团、盛辉物流集团、福州京东方等120多家用人单位参会，为我院毕业生提供岗位2000多个就业岗位，招聘专业需求涵盖学院毕业生所属的全部专业，就业岗位对口率达85%以上。</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119755"/>
            <wp:effectExtent l="0" t="0" r="6350" b="4445"/>
            <wp:docPr id="94" name="图片 89" descr="1569123868125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89" descr="1569123868125080.png"/>
                    <pic:cNvPicPr>
                      <a:picLocks noChangeAspect="1"/>
                    </pic:cNvPicPr>
                  </pic:nvPicPr>
                  <pic:blipFill>
                    <a:blip r:embed="rId9"/>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学院领导高度重视本次毕业生供需见面会，学院党委书记王卫旗、常务副院长俞发仁、党委副书记刘建华亲临现场，了解学生就业意向，会见招聘单位工作人员，慰问会议工作人员，询问现场毕业生的求职情况和就业意向。学院各相关部门通力合作，职责分明，精心筹备，会议工作人员和学生志愿者的全力配合，为办好本场供需见面会奠定了坚实的基础。</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119755"/>
            <wp:effectExtent l="0" t="0" r="6350" b="4445"/>
            <wp:docPr id="95" name="图片 90" descr="1569123888821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0" descr="1569123888821132.png"/>
                    <pic:cNvPicPr>
                      <a:picLocks noChangeAspect="1"/>
                    </pic:cNvPicPr>
                  </pic:nvPicPr>
                  <pic:blipFill>
                    <a:blip r:embed="rId10"/>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119755"/>
            <wp:effectExtent l="0" t="0" r="6350" b="4445"/>
            <wp:docPr id="96" name="图片 91" descr="1569123915109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1" descr="1569123915109287.png"/>
                    <pic:cNvPicPr>
                      <a:picLocks noChangeAspect="1"/>
                    </pic:cNvPicPr>
                  </pic:nvPicPr>
                  <pic:blipFill>
                    <a:blip r:embed="rId11"/>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下午14点，企业悉数到场完成布展，各展位面前人头攒动，毕业生们接踵而至，“准毕业生们”求职的热情不断增加。据了解，短短两个小时的时间内，就有不少同学当场与用人单位达成就业意向，为实习、就业明确了方向。参会企业对学院毕业生整体素质给予了一致好评。</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119755"/>
            <wp:effectExtent l="0" t="0" r="6350" b="4445"/>
            <wp:docPr id="97" name="图片 92" descr="1569123938282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2" descr="1569123938282159.png"/>
                    <pic:cNvPicPr>
                      <a:picLocks noChangeAspect="1"/>
                    </pic:cNvPicPr>
                  </pic:nvPicPr>
                  <pic:blipFill>
                    <a:blip r:embed="rId12"/>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次供需见面会全面拉开了福州软件职业技术学院2019届毕业生就业工作的大幕。接下来，学院毕业生就业指导中心以就业为导向，将组陆续开展专场招聘宣讲会和讲座，为毕业生和用人单位提供相互交流的平台。形成全方位的供需交流台、增强校内的就业氛围，提升学生就业质量。</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right"/>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招生就业处</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right"/>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2019年5月29日</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我院召开AR/VR未来教室条件下的信息化</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课堂教学应用专题报告</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2019年5月28日下午，网龙网络公司产品经理陈健在G604做了“AR/VR未来教室条件下的信息化课堂教学应用”的主题报告，学院教务处林土水处长，方建辉副处长以及各系部信息化教师教学创新团队成员出席。</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陈健经理从信息化教学改革的意义，设计理念，AR/VR未来教室条件下的信息化课堂教学应用，主要成效分析等方面入手，结合学院AR/VR未来教室软硬件情况，采取讲座与现场体验等方式，分享了AR/VR未来教室条件下的信息化课堂教学应用经验，对提高教师信息化教学设计和信息化设备应用具有重要的意义。</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494405"/>
            <wp:effectExtent l="0" t="0" r="6350" b="10795"/>
            <wp:docPr id="101" name="图片 95" descr="1569122779923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95" descr="1569122779923720.png"/>
                    <pic:cNvPicPr>
                      <a:picLocks noChangeAspect="1"/>
                    </pic:cNvPicPr>
                  </pic:nvPicPr>
                  <pic:blipFill>
                    <a:blip r:embed="rId13"/>
                    <a:stretch>
                      <a:fillRect/>
                    </a:stretch>
                  </pic:blipFill>
                  <pic:spPr>
                    <a:xfrm>
                      <a:off x="0" y="0"/>
                      <a:ext cx="4679950" cy="349440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494405"/>
            <wp:effectExtent l="0" t="0" r="6350" b="10795"/>
            <wp:docPr id="100" name="图片 96" descr="1569122787353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6" descr="1569122787353807.png"/>
                    <pic:cNvPicPr>
                      <a:picLocks noChangeAspect="1"/>
                    </pic:cNvPicPr>
                  </pic:nvPicPr>
                  <pic:blipFill>
                    <a:blip r:embed="rId14"/>
                    <a:stretch>
                      <a:fillRect/>
                    </a:stretch>
                  </pic:blipFill>
                  <pic:spPr>
                    <a:xfrm>
                      <a:off x="0" y="0"/>
                      <a:ext cx="4679950" cy="349440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建筑工程系说课比赛</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应福州软件职业技术学院福软教〔2019〕11号文和福软评建〔2019〕5号文要求，建筑工程系在2019年5月20日~2019年5月31日期间组织举办为期两周的说课比赛，参加人员有：吕钢、余秀娣、吴健平、郑善良、陈春森、陈艳、陈露杉、蔡元惺、林思琦、王建平、兰臻。 </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说课顺序及具体课程名称有陈春森–工程招投标与合同管理、王建平-Photoshop、林思琦–3ds Max、陈露杉–建筑工程概预算、蔡元惺–工程测量、陈艳–安装工程技术与预算、兰臻-设计造型基础、郑善良–居住空间设计、吴健平-建筑CAD、吕钢–平法识图等等。所有老师都说课完成后，由大家集体投票选出两位老师代表系部参加学院组织的说课比赛，分别是建筑教研室陈春森老师和室内设计教研室林思琦老师。</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通过这次系部组织的说课比赛，老师们一起讨论说课过程中存在的问题及总结各自的优点， 使老师们对各自课程的把握及专业的培养方向有了更进一步的认识。</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106" name="图片 100" descr="1560175362243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0" descr="1560175362243645.jpg"/>
                    <pic:cNvPicPr>
                      <a:picLocks noChangeAspect="1"/>
                    </pic:cNvPicPr>
                  </pic:nvPicPr>
                  <pic:blipFill>
                    <a:blip r:embed="rId15"/>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105" name="图片 101" descr="1560175362605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1" descr="1560175362605112.jpg"/>
                    <pic:cNvPicPr>
                      <a:picLocks noChangeAspect="1"/>
                    </pic:cNvPicPr>
                  </pic:nvPicPr>
                  <pic:blipFill>
                    <a:blip r:embed="rId16"/>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107" name="图片 102" descr="1560175362193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2" descr="1560175362193729.jpg"/>
                    <pic:cNvPicPr>
                      <a:picLocks noChangeAspect="1"/>
                    </pic:cNvPicPr>
                  </pic:nvPicPr>
                  <pic:blipFill>
                    <a:blip r:embed="rId17"/>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default"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建筑工程系评估工作进度汇报会议</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2019年6月4日建筑工程系于行政楼208召开了系部评估工作进度汇报会议。</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参加工作进度汇报会议的人员有：系主任吕钢老师、系秘书李伟娜老师、室内设计教研室主任郑善良老师、建筑教研室主任吴健平老师、专职教师林思琦老师、陈露杉老师、蔡元惺老师、王建平老师、陈艳老师、兰臻老师。</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110" name="图片 105" descr="1560173765836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5" descr="1560173765836537.jpg"/>
                    <pic:cNvPicPr>
                      <a:picLocks noChangeAspect="1"/>
                    </pic:cNvPicPr>
                  </pic:nvPicPr>
                  <pic:blipFill>
                    <a:blip r:embed="rId18"/>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工作进度汇报会议内容包括了与评估相关的事务，例如课程标准汇编、说课材料、专业剖析材料完成情况以及评估佐证材料目录里与系部相关的工作等等。</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left"/>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会议开始后，首先吕钢主任带领大家详细剖析了评建办下发的评建工作手册，重点学习了专业剖析参考手册和说课参考手册等内容，接下来是教研室主任吴健平老师和郑善良老师汇报教研室工作进度，指出准备的评估材料中还有哪些不完善和缺失的，然后再具体分派接下来的工作任务给教研室的各位老师。</w:t>
      </w:r>
      <w:r>
        <w:rPr>
          <w:rFonts w:hint="eastAsia" w:ascii="宋体" w:hAnsi="宋体" w:eastAsia="宋体" w:cs="宋体"/>
          <w:sz w:val="28"/>
          <w:szCs w:val="28"/>
          <w:lang w:val="en-US" w:eastAsia="zh-CN"/>
        </w:rPr>
        <w:drawing>
          <wp:inline distT="0" distB="0" distL="114300" distR="114300">
            <wp:extent cx="4679950" cy="3510280"/>
            <wp:effectExtent l="0" t="0" r="6350" b="13970"/>
            <wp:docPr id="111" name="图片 106" descr="1560173784884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06" descr="1560173784884346.jpg"/>
                    <pic:cNvPicPr>
                      <a:picLocks noChangeAspect="1"/>
                    </pic:cNvPicPr>
                  </pic:nvPicPr>
                  <pic:blipFill>
                    <a:blip r:embed="rId19"/>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会议最后，吕钢主任强调现在处于学院评估工作准备的重要阶段，各位老师要按时完成学院、系部和教研室主任安排的任务，积极配合系部和教研室的工作。</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游戏产业学院远赴吉林动画学院开展专业调研活动</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  2019年6月3日到6日，游戏产业学院副院长李榕玲、动漫游戏设计教研主任徐颖、视觉艺术教研室主任张晓霞、虚拟现实技术教研室主任蒋逸凡等一行人开展参访交流调研活动，调研学校主要是吉林动画学院，调研过程听取了吉林动画学院，游戏学院相关负责老师的介绍，从吉林动画学院的专业设置，人才培养特色，工作室建制，师资队伍构建等方面进行深度交流，从每个不同的侧面对吉林动画学院人才培养有一个深度的了解学习。会后带领我院一行老师参观了数字娱乐工作室，深度交流工作室管理和运作模式，以及工作室师生的作品并带领我们参观了学院的建设，深入到吉林动画学院课堂，对教师的授课进行观摩学习活动。吉林动画学院的办学特色和经验是值得我院学习和借鉴的。</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119" name="图片 113" descr="15691224427748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3" descr="1569122442774873.png"/>
                    <pic:cNvPicPr>
                      <a:picLocks noChangeAspect="1"/>
                    </pic:cNvPicPr>
                  </pic:nvPicPr>
                  <pic:blipFill>
                    <a:blip r:embed="rId20"/>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118" name="图片 114" descr="1569122450703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4" descr="1569122450703827.png"/>
                    <pic:cNvPicPr>
                      <a:picLocks noChangeAspect="1"/>
                    </pic:cNvPicPr>
                  </pic:nvPicPr>
                  <pic:blipFill>
                    <a:blip r:embed="rId21"/>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121" name="图片 115" descr="1569122457110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15" descr="1569122457110656.png"/>
                    <pic:cNvPicPr>
                      <a:picLocks noChangeAspect="1"/>
                    </pic:cNvPicPr>
                  </pic:nvPicPr>
                  <pic:blipFill>
                    <a:blip r:embed="rId22"/>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120" name="图片 116" descr="1569122464577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6" descr="1569122464577314.png"/>
                    <pic:cNvPicPr>
                      <a:picLocks noChangeAspect="1"/>
                    </pic:cNvPicPr>
                  </pic:nvPicPr>
                  <pic:blipFill>
                    <a:blip r:embed="rId23"/>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122" name="图片 117" descr="1569122470748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17" descr="1569122470748150.png"/>
                    <pic:cNvPicPr>
                      <a:picLocks noChangeAspect="1"/>
                    </pic:cNvPicPr>
                  </pic:nvPicPr>
                  <pic:blipFill>
                    <a:blip r:embed="rId24"/>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4679950"/>
            <wp:effectExtent l="0" t="0" r="6350" b="6350"/>
            <wp:docPr id="123" name="图片 118" descr="1569122478137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18" descr="1569122478137099.png"/>
                    <pic:cNvPicPr>
                      <a:picLocks noChangeAspect="1"/>
                    </pic:cNvPicPr>
                  </pic:nvPicPr>
                  <pic:blipFill>
                    <a:blip r:embed="rId25"/>
                    <a:stretch>
                      <a:fillRect/>
                    </a:stretch>
                  </pic:blipFill>
                  <pic:spPr>
                    <a:xfrm>
                      <a:off x="0" y="0"/>
                      <a:ext cx="4679950" cy="467995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日本广岛大学副理事难波博孝教授来校参观访问</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6月12日上午，日本广岛大学副理事难波博孝教授一行来校交流访问。学</w:t>
      </w:r>
      <w:r>
        <w:rPr>
          <w:rFonts w:hint="eastAsia" w:ascii="宋体" w:hAnsi="宋体" w:cs="宋体"/>
          <w:sz w:val="28"/>
          <w:szCs w:val="28"/>
          <w:lang w:val="en-US" w:eastAsia="zh-CN"/>
        </w:rPr>
        <w:t xml:space="preserve"> </w:t>
      </w:r>
      <w:r>
        <w:rPr>
          <w:rFonts w:hint="eastAsia" w:ascii="宋体" w:hAnsi="宋体" w:eastAsia="宋体" w:cs="宋体"/>
          <w:sz w:val="28"/>
          <w:szCs w:val="28"/>
          <w:lang w:val="en-US" w:eastAsia="zh-CN"/>
        </w:rPr>
        <w:t>院常务副院长俞发仁研究员、教务处处长林土水、游戏产业学院院长刘东山副教授、经济管理系主任罗玮副教授、重点项目建设办主任夏副顺、职业培训处主任陈媛清等陪同参观交流，网龙网络公司肖艺芳、彭程、游戏产业学院蒋逸凡老师担任翻译。</w:t>
      </w:r>
    </w:p>
    <w:p>
      <w:pPr>
        <w:keepNext w:val="0"/>
        <w:keepLines w:val="0"/>
        <w:pageBreakBefore w:val="0"/>
        <w:widowControl w:val="0"/>
        <w:kinsoku/>
        <w:wordWrap/>
        <w:overflowPunct/>
        <w:topLinePunct w:val="0"/>
        <w:autoSpaceDE/>
        <w:autoSpaceDN/>
        <w:bidi w:val="0"/>
        <w:adjustRightInd/>
        <w:snapToGrid/>
        <w:spacing w:line="500" w:lineRule="exact"/>
        <w:ind w:firstLine="280" w:firstLineChars="1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学院领导陪同难波博孝教授一行参观了网龙教育装备展厅、ARVR智慧教室、实训基地和图书馆等。难波博孝教授走进课堂和学生进行短暂交流，受到学生的热烈欢迎。</w:t>
      </w:r>
    </w:p>
    <w:p>
      <w:pPr>
        <w:keepNext w:val="0"/>
        <w:keepLines w:val="0"/>
        <w:pageBreakBefore w:val="0"/>
        <w:widowControl w:val="0"/>
        <w:kinsoku/>
        <w:wordWrap/>
        <w:overflowPunct/>
        <w:topLinePunct w:val="0"/>
        <w:autoSpaceDE/>
        <w:autoSpaceDN/>
        <w:bidi w:val="0"/>
        <w:adjustRightInd/>
        <w:snapToGrid/>
        <w:spacing w:line="500" w:lineRule="exact"/>
        <w:ind w:firstLine="280" w:firstLineChars="1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135" name="图片 126" descr="1569088792941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26" descr="1569088792941406.png"/>
                    <pic:cNvPicPr>
                      <a:picLocks noChangeAspect="1"/>
                    </pic:cNvPicPr>
                  </pic:nvPicPr>
                  <pic:blipFill>
                    <a:blip r:embed="rId26"/>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校园参观1</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137" name="图片 127" descr="1569089047430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27" descr="1569089047430446.png"/>
                    <pic:cNvPicPr>
                      <a:picLocks noChangeAspect="1"/>
                    </pic:cNvPicPr>
                  </pic:nvPicPr>
                  <pic:blipFill>
                    <a:blip r:embed="rId27"/>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校内参观2</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center"/>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134" name="图片 128" descr="1569089084134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28" descr="1569089084134547.png"/>
                    <pic:cNvPicPr>
                      <a:picLocks noChangeAspect="1"/>
                    </pic:cNvPicPr>
                  </pic:nvPicPr>
                  <pic:blipFill>
                    <a:blip r:embed="rId28"/>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校内参观3</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center"/>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参观校园后在行政办公楼接待室举行座谈会，俞发仁常务副院长对难波博孝教授一行表示了诚挚的欢迎。并向客人详细介绍了学院办学历程、办学定位和特色、专业建设、人才培养、国际合作等方面情况。同时表示，希望两校在学生访学、师资交流和文化研究等方面加强合作，不断促进中日学生之间的交流，提高人才培养质量。</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难波博孝教授对我校的热情接待表示了感谢，介绍了广岛大学的基本情况。他表示，广岛大学是日本文部科学省选定的13所A类顶尖型大学之一，学校在医学、工学、理学领域具有良好的基础，非常重视教育全球化和合作交流，今后希望能与福州软件职业技术学院紧密合作，促进两校教师及学生之间的双向交流，探索更多合作，实现两校共创双赢，希望两校近期加强调研，力争今年底前两校签订相关合作协议。</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133" name="图片 129" descr="1569089133151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29" descr="1569089133151084.png"/>
                    <pic:cNvPicPr>
                      <a:picLocks noChangeAspect="1"/>
                    </pic:cNvPicPr>
                  </pic:nvPicPr>
                  <pic:blipFill>
                    <a:blip r:embed="rId29"/>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座谈会</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136" name="图片 130" descr="1569089166273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0" descr="1569089166273165.png"/>
                    <pic:cNvPicPr>
                      <a:picLocks noChangeAspect="1"/>
                    </pic:cNvPicPr>
                  </pic:nvPicPr>
                  <pic:blipFill>
                    <a:blip r:embed="rId30"/>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赠送礼品</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center"/>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据悉，日本广岛大学创立于1874年，是日本一所公立综合性大学，共有文学、理学、工学、法学、经济学、教育学、医学等13个学部，在2017年泰晤士报高等学校日本大学排名中，广岛大学位居第12名。</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132" name="图片 131" descr="1569089205120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1" descr="1569089205120084.png"/>
                    <pic:cNvPicPr>
                      <a:picLocks noChangeAspect="1"/>
                    </pic:cNvPicPr>
                  </pic:nvPicPr>
                  <pic:blipFill>
                    <a:blip r:embed="rId31"/>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合影1</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center"/>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131" name="图片 132" descr="1569089225112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2" descr="1569089225112175.png"/>
                    <pic:cNvPicPr>
                      <a:picLocks noChangeAspect="1"/>
                    </pic:cNvPicPr>
                  </pic:nvPicPr>
                  <pic:blipFill>
                    <a:blip r:embed="rId32"/>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合影2</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Arial"/>
    <w:panose1 w:val="020B0604020202020204"/>
    <w:charset w:val="00"/>
    <w:family w:val="roman"/>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pPr>
                      <w:pStyle w:val="3"/>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U4NzUxNjdhNWQ1OTA2ZjZhYzA3N2QwMTI1OGZhNGEifQ=="/>
  </w:docVars>
  <w:rsids>
    <w:rsidRoot w:val="036166C2"/>
    <w:rsid w:val="036166C2"/>
    <w:rsid w:val="03D04A76"/>
    <w:rsid w:val="132D118E"/>
    <w:rsid w:val="14267D62"/>
    <w:rsid w:val="16FD7E14"/>
    <w:rsid w:val="182A0257"/>
    <w:rsid w:val="1B4614C5"/>
    <w:rsid w:val="21EC0DFA"/>
    <w:rsid w:val="22BE09DF"/>
    <w:rsid w:val="2C282A65"/>
    <w:rsid w:val="3DCE7A1C"/>
    <w:rsid w:val="3FBC0B08"/>
    <w:rsid w:val="42E62BD0"/>
    <w:rsid w:val="4B043B01"/>
    <w:rsid w:val="572B7BC7"/>
    <w:rsid w:val="63D935CE"/>
    <w:rsid w:val="64935200"/>
    <w:rsid w:val="6D063AAA"/>
    <w:rsid w:val="70AB5914"/>
    <w:rsid w:val="7D8D595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2"/>
    <w:basedOn w:val="1"/>
    <w:next w:val="1"/>
    <w:semiHidden/>
    <w:unhideWhenUsed/>
    <w:qFormat/>
    <w:uiPriority w:val="0"/>
    <w:pPr>
      <w:spacing w:before="0" w:beforeAutospacing="1" w:after="0" w:afterAutospacing="1"/>
      <w:jc w:val="left"/>
    </w:pPr>
    <w:rPr>
      <w:rFonts w:hint="eastAsia" w:ascii="宋体" w:hAnsi="宋体" w:eastAsia="宋体" w:cs="宋体"/>
      <w:b/>
      <w:kern w:val="0"/>
      <w:sz w:val="36"/>
      <w:szCs w:val="36"/>
      <w:lang w:val="en-US" w:eastAsia="zh-CN" w:bidi="ar"/>
    </w:rPr>
  </w:style>
  <w:style w:type="character" w:default="1" w:styleId="7">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Normal (Web)"/>
    <w:basedOn w:val="1"/>
    <w:qFormat/>
    <w:uiPriority w:val="0"/>
    <w:pPr>
      <w:spacing w:before="0" w:beforeAutospacing="1" w:after="0" w:afterAutospacing="1"/>
      <w:ind w:left="0" w:right="0"/>
      <w:jc w:val="left"/>
    </w:pPr>
    <w:rPr>
      <w:kern w:val="0"/>
      <w:sz w:val="24"/>
      <w:lang w:val="en-US" w:eastAsia="zh-CN" w:bidi="ar"/>
    </w:rPr>
  </w:style>
  <w:style w:type="character" w:styleId="8">
    <w:name w:val="Strong"/>
    <w:basedOn w:val="7"/>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theme" Target="theme/theme1.xml"/><Relationship Id="rId34" Type="http://schemas.openxmlformats.org/officeDocument/2006/relationships/fontTable" Target="fontTable.xml"/><Relationship Id="rId33" Type="http://schemas.openxmlformats.org/officeDocument/2006/relationships/customXml" Target="../customXml/item1.xml"/><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20</Pages>
  <Words>3438</Words>
  <Characters>3592</Characters>
  <Lines>0</Lines>
  <Paragraphs>0</Paragraphs>
  <TotalTime>7</TotalTime>
  <ScaleCrop>false</ScaleCrop>
  <LinksUpToDate>false</LinksUpToDate>
  <CharactersWithSpaces>3619</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2019-09-26T11:51:00Z</dcterms:created>
  <dc:creator>Administrator</dc:creator>
  <cp:lastModifiedBy>歪歪</cp:lastModifiedBy>
  <dcterms:modified xsi:type="dcterms:W3CDTF">2024-06-25T06:57:41Z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3D9178E6B6764CC6B057A402F58DCA40_13</vt:lpwstr>
  </property>
</Properties>
</file>