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ascii="方正小标宋简体" w:hAnsi="宋体" w:eastAsia="方正小标宋简体"/>
          <w:sz w:val="36"/>
          <w:szCs w:val="36"/>
          <w:lang w:val="en-US" w:eastAsia="zh-CN"/>
        </w:rPr>
      </w:pPr>
      <w:bookmarkStart w:id="1" w:name="_GoBack"/>
      <w:bookmarkEnd w:id="1"/>
      <w:bookmarkStart w:id="0" w:name="_Hlk75208908"/>
      <w:r>
        <w:rPr>
          <w:rFonts w:hint="eastAsia" w:ascii="方正小标宋简体" w:hAnsi="宋体" w:eastAsia="方正小标宋简体"/>
          <w:sz w:val="36"/>
          <w:szCs w:val="36"/>
          <w:lang w:val="en-US" w:eastAsia="zh-CN"/>
        </w:rPr>
        <w:t>附件4：</w:t>
      </w:r>
    </w:p>
    <w:p>
      <w:pPr>
        <w:widowControl/>
        <w:spacing w:line="60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宋体" w:eastAsia="方正小标宋简体"/>
          <w:sz w:val="36"/>
          <w:szCs w:val="36"/>
        </w:rPr>
        <w:t>202</w:t>
      </w:r>
      <w:r>
        <w:rPr>
          <w:rFonts w:ascii="方正小标宋简体" w:hAnsi="宋体" w:eastAsia="方正小标宋简体"/>
          <w:sz w:val="36"/>
          <w:szCs w:val="36"/>
        </w:rPr>
        <w:t>3</w:t>
      </w:r>
      <w:r>
        <w:rPr>
          <w:rFonts w:hint="eastAsia" w:ascii="方正小标宋简体" w:hAnsi="宋体" w:eastAsia="方正小标宋简体"/>
          <w:sz w:val="36"/>
          <w:szCs w:val="36"/>
        </w:rPr>
        <w:t>年职业教育</w:t>
      </w:r>
      <w:r>
        <w:rPr>
          <w:rFonts w:hint="eastAsia" w:ascii="方正小标宋简体" w:hAnsi="宋体" w:eastAsia="方正小标宋简体"/>
          <w:sz w:val="36"/>
          <w:szCs w:val="36"/>
          <w:lang w:val="en-US" w:eastAsia="zh-CN"/>
        </w:rPr>
        <w:t>专业教学资源库</w:t>
      </w:r>
      <w:r>
        <w:rPr>
          <w:rFonts w:hint="eastAsia" w:ascii="方正小标宋简体" w:hAnsi="宋体" w:eastAsia="方正小标宋简体" w:cs="Times New Roman"/>
          <w:sz w:val="36"/>
          <w:szCs w:val="36"/>
        </w:rPr>
        <w:t>认定指标</w:t>
      </w:r>
    </w:p>
    <w:p>
      <w:pPr>
        <w:pStyle w:val="2"/>
        <w:rPr>
          <w:rFonts w:hint="eastAsia"/>
          <w:lang w:val="en-US" w:eastAsia="zh-CN"/>
        </w:rPr>
      </w:pPr>
    </w:p>
    <w:tbl>
      <w:tblPr>
        <w:tblStyle w:val="11"/>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13"/>
        <w:gridCol w:w="7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10273" w:type="dxa"/>
            <w:gridSpan w:val="3"/>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312"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主要指标</w:t>
            </w:r>
          </w:p>
        </w:tc>
        <w:tc>
          <w:tcPr>
            <w:tcW w:w="1513"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观测点</w:t>
            </w:r>
          </w:p>
        </w:tc>
        <w:tc>
          <w:tcPr>
            <w:tcW w:w="7448"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观测点内涵说明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312" w:type="dxa"/>
            <w:vMerge w:val="restart"/>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1.资源建设（35%）</w:t>
            </w: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1.1资源规划（10%）</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专业人才培养方案能对接职业标准、技术标准和专业教学标准，适应“互联网＋职业教育”发展需求，体现信息化特征。</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以用户需求为导向、结合专业特点，科学构架课程和资源体系。</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专业启动对应的1+X证书制度试点，支持学习者通过资源库学习，获取多类职业技能等级证书。</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库内资源架构按照素材、积件、模块和课程等分层建设。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库内资源丰富多样、呈现方式得当，文本型演示文稿、图形（图像）类和文本类资源数量占比小于60%。</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建有基本资源、拓展资源以及支持服务的相关内容。库内资源数量大幅度超出库内提供课程所调用的资源，实现资源冗余。</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以学习者为中心定制典型学习方案，突出网络“教”与“学”的特点。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312" w:type="dxa"/>
            <w:vMerge w:val="continue"/>
            <w:shd w:val="clear" w:color="auto" w:fill="auto"/>
            <w:vAlign w:val="center"/>
          </w:tcPr>
          <w:p>
            <w:pPr>
              <w:rPr>
                <w:rFonts w:hint="eastAsia" w:ascii="仿宋_GB2312" w:hAnsi="仿宋_GB2312" w:eastAsia="仿宋_GB2312" w:cs="仿宋_GB2312"/>
                <w:sz w:val="24"/>
                <w:szCs w:val="24"/>
              </w:rPr>
            </w:pP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1.2资源内容（15%）</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基本资源涵盖专业教学标准规定的内容、覆盖专业的基本知识点和技能点。颗粒化资源单体结构完整，资源属性标识全面。拓展资源适应产业发展需要和用户的个性化需求，具有特色性和前瞻性。</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支持服务内容齐全。</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对接《职业教育专业目录（2021年）》新专业目录，及时根据新专业目录，补充新资源。</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教学设计、教学实施、教学过程记录、教学评价等各个环节资源搭建完整。</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资源使用无知识产权争议，原创资源要达到占本资源库总数的70%。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312" w:type="dxa"/>
            <w:vMerge w:val="continue"/>
            <w:shd w:val="clear" w:color="auto" w:fill="auto"/>
            <w:vAlign w:val="center"/>
          </w:tcPr>
          <w:p>
            <w:pPr>
              <w:rPr>
                <w:rFonts w:hint="eastAsia" w:ascii="仿宋_GB2312" w:hAnsi="仿宋_GB2312" w:eastAsia="仿宋_GB2312" w:cs="仿宋_GB2312"/>
                <w:sz w:val="24"/>
                <w:szCs w:val="24"/>
              </w:rPr>
            </w:pP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1.3质量保证（10%）</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资源建设团队校企深度融合、实力较强，任务分工明确。</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建立有资源建设和应用的质量要求的相关标准文件。</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能提供监督、记录和评估资源质量活动的执行结果数据。</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提交任务书中至少6门的标准化课程质量报告和相应的在线（混合）教学标准（规范）文件。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312"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2.资源应用（50%）</w:t>
            </w: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2.1功能实现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10%）</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教师、企业员工和社会学习者，均可以方便注册资源库，自主选择进行系统化、个性化的学习。</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教师可以针对不同的教授对象和教学要求，利用资源库灵活组织教学内容、辅助教学实施。</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共享平台框架设计合理、先进，交互性好，界面视觉表现规范、美观，导航清晰，资源库素材或课程能以知识点、技能点的为线索系统呈现，平台运行公网上，响应速度快。</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使用界面人性化，用户体验好。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312" w:type="dxa"/>
            <w:vMerge w:val="restart"/>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2.资源应用（50%）</w:t>
            </w: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2.2基本应用（25%）</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资源库支持线上教学或线上线下混合教学，促进教与学的改革，探索出教与学、教与教、学与学互动的专业教学模式。</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教师率先使用，主持院校相应专业教师实名注册比例不低于80%，使用资源库进行专业教学的学时数占专业课总学时的比例达50%以上，参与建设院校该比例达40%以上</w:t>
            </w:r>
            <w:r>
              <w:rPr>
                <w:rFonts w:hint="eastAsia" w:ascii="仿宋_GB2312" w:hAnsi="仿宋_GB2312" w:eastAsia="仿宋_GB2312" w:cs="仿宋_GB2312"/>
                <w:sz w:val="24"/>
                <w:szCs w:val="24"/>
                <w:vertAlign w:val="superscript"/>
              </w:rPr>
              <w:footnoteReference w:id="0"/>
            </w:r>
            <w:r>
              <w:rPr>
                <w:rFonts w:hint="eastAsia" w:ascii="仿宋_GB2312" w:hAnsi="仿宋_GB2312" w:eastAsia="仿宋_GB2312" w:cs="仿宋_GB2312"/>
                <w:sz w:val="24"/>
                <w:szCs w:val="24"/>
              </w:rPr>
              <w:t>，课程使用率达100%，题库题目使用率达50%以上。</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学生广泛使用，主持院校和参与建设院校的本专业学生实名注册比例不低于85%。</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各类用户积极使用资源库浏览、下载资源，参与课程学习和线上互动等，实名教师和学生中无活动用户比例不超过10%。</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标准化课程开课不少于2期，且教学活动完整，提供完整课程质量报告。</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发挥示范效应，辐射带动参与建设中高职院校其他专业教学改革。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312" w:type="dxa"/>
            <w:vMerge w:val="continue"/>
            <w:shd w:val="clear" w:color="auto" w:fill="auto"/>
            <w:vAlign w:val="center"/>
          </w:tcPr>
          <w:p>
            <w:pPr>
              <w:rPr>
                <w:rFonts w:hint="eastAsia" w:ascii="仿宋_GB2312" w:hAnsi="仿宋_GB2312" w:eastAsia="仿宋_GB2312" w:cs="仿宋_GB2312"/>
                <w:sz w:val="24"/>
                <w:szCs w:val="24"/>
              </w:rPr>
            </w:pP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2.3校企融合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5%）</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企业实质参与资源库规划、建设、应用和推广。</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企业为资源库建设提供实际案例和实质技术支持，在资源库平台发布新产品和新技术及相关培训课程。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资源库联合建设行业企业把资源库平台纳入职工继续教育、技能提升培训系统，提供相应文件证明。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12" w:type="dxa"/>
            <w:vMerge w:val="continue"/>
            <w:shd w:val="clear" w:color="auto" w:fill="auto"/>
            <w:vAlign w:val="center"/>
          </w:tcPr>
          <w:p>
            <w:pPr>
              <w:rPr>
                <w:rFonts w:hint="eastAsia" w:ascii="仿宋_GB2312" w:hAnsi="仿宋_GB2312" w:eastAsia="仿宋_GB2312" w:cs="仿宋_GB2312"/>
                <w:sz w:val="24"/>
                <w:szCs w:val="24"/>
              </w:rPr>
            </w:pP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2.4社会服务（5%）</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各类用户可通过主流搜索引擎查找库内资源。</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企业员工和社会学习者应用资源库学习频度较高、累计学习时间较长。</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形成服务学习型社会建设的品牌影响力，通过各类活动或媒体进行推广与宣传。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312" w:type="dxa"/>
            <w:vMerge w:val="continue"/>
            <w:shd w:val="clear" w:color="auto" w:fill="auto"/>
            <w:vAlign w:val="center"/>
          </w:tcPr>
          <w:p>
            <w:pPr>
              <w:rPr>
                <w:rFonts w:hint="eastAsia" w:ascii="仿宋_GB2312" w:hAnsi="仿宋_GB2312" w:eastAsia="仿宋_GB2312" w:cs="仿宋_GB2312"/>
                <w:sz w:val="24"/>
                <w:szCs w:val="24"/>
              </w:rPr>
            </w:pP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2.5特色与创新（5%）</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坚持应用驱动，在深化本专业教学改革、提升教学信息化水平、为各类学习者提供个性化服务等方面深入探索、富有成效。</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建立健全资源认证标准。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探索基于课程或模块的资源标准认证体系，建立校际课程互选、学分互认机制。</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能够利用资源库开展创新创业、精准扶贫等特色应用。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12" w:type="dxa"/>
            <w:vMerge w:val="restart"/>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3.资源更新（15%）</w:t>
            </w: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3.1更新机制（7%）</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持续投入机制。</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主持院校和参与建设院校在推进资源库建设和应用方面出台的有关制度文件（含子项目级别认定、教师职称评聘、考核评价等）。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312" w:type="dxa"/>
            <w:vMerge w:val="continue"/>
            <w:shd w:val="clear" w:color="auto" w:fill="auto"/>
            <w:vAlign w:val="center"/>
          </w:tcPr>
          <w:p>
            <w:pPr>
              <w:rPr>
                <w:rFonts w:hint="eastAsia" w:ascii="仿宋_GB2312" w:hAnsi="仿宋_GB2312" w:eastAsia="仿宋_GB2312" w:cs="仿宋_GB2312"/>
                <w:sz w:val="24"/>
                <w:szCs w:val="24"/>
              </w:rPr>
            </w:pPr>
          </w:p>
        </w:tc>
        <w:tc>
          <w:tcPr>
            <w:tcW w:w="1513"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3.2更新实效（8%）</w:t>
            </w:r>
          </w:p>
        </w:tc>
        <w:tc>
          <w:tcPr>
            <w:tcW w:w="7448" w:type="dxa"/>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有明确的更新经费投入。</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资源内容年更新比例不低于存储总量的10%。</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资源库用户数量每年实现一定比例增长。</w:t>
            </w:r>
          </w:p>
        </w:tc>
      </w:tr>
      <w:bookmarkEnd w:id="0"/>
    </w:tbl>
    <w:p>
      <w:pPr>
        <w:rPr>
          <w:rFonts w:ascii="仿宋_GB2312" w:eastAsia="仿宋_GB2312"/>
          <w:sz w:val="30"/>
          <w:szCs w:val="30"/>
        </w:rPr>
      </w:pPr>
    </w:p>
    <w:sectPr>
      <w:pgSz w:w="11906" w:h="16838"/>
      <w:pgMar w:top="1814"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pPr>
      <w:r>
        <w:rPr>
          <w:rFonts w:hint="eastAsia" w:ascii="仿宋_GB2312" w:hAnsi="宋体" w:eastAsia="仿宋_GB2312" w:cs="宋体"/>
          <w:kern w:val="0"/>
          <w:sz w:val="22"/>
        </w:rPr>
        <w:t>注：</w:t>
      </w:r>
      <w:r>
        <w:rPr>
          <w:rStyle w:val="18"/>
        </w:rPr>
        <w:footnoteRef/>
      </w:r>
      <w:r>
        <w:rPr>
          <w:rFonts w:hint="eastAsia" w:ascii="仿宋_GB2312" w:hAnsi="宋体" w:eastAsia="仿宋_GB2312" w:cs="宋体"/>
          <w:kern w:val="0"/>
          <w:sz w:val="22"/>
        </w:rPr>
        <w:t>主持院校、参与建设院校相应专业教师使用资源库进行专业教学的学时数占专业课总学时比例情况须在《总结报告》中说明。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kOGI2ZWY5YzM0ZjE5N2Q1NmM3N2M4MjExMDliYjgifQ=="/>
  </w:docVars>
  <w:rsids>
    <w:rsidRoot w:val="00940772"/>
    <w:rsid w:val="000225F4"/>
    <w:rsid w:val="0003772F"/>
    <w:rsid w:val="00043C5A"/>
    <w:rsid w:val="000741C9"/>
    <w:rsid w:val="00085E3B"/>
    <w:rsid w:val="000A22F1"/>
    <w:rsid w:val="000B5612"/>
    <w:rsid w:val="000B5BEE"/>
    <w:rsid w:val="000C0BE9"/>
    <w:rsid w:val="000E371C"/>
    <w:rsid w:val="000F1F54"/>
    <w:rsid w:val="00111C2A"/>
    <w:rsid w:val="00112A5B"/>
    <w:rsid w:val="00121F0B"/>
    <w:rsid w:val="00125C98"/>
    <w:rsid w:val="001700F4"/>
    <w:rsid w:val="0017383B"/>
    <w:rsid w:val="001738AB"/>
    <w:rsid w:val="001806AE"/>
    <w:rsid w:val="001821C9"/>
    <w:rsid w:val="00197FC0"/>
    <w:rsid w:val="001A7C09"/>
    <w:rsid w:val="001B2D13"/>
    <w:rsid w:val="001D0C1C"/>
    <w:rsid w:val="001D793F"/>
    <w:rsid w:val="001E5AB2"/>
    <w:rsid w:val="001F36E9"/>
    <w:rsid w:val="00203937"/>
    <w:rsid w:val="002262AF"/>
    <w:rsid w:val="0023276B"/>
    <w:rsid w:val="00252D1B"/>
    <w:rsid w:val="002576D6"/>
    <w:rsid w:val="00275829"/>
    <w:rsid w:val="00284242"/>
    <w:rsid w:val="002E59A1"/>
    <w:rsid w:val="002F52D8"/>
    <w:rsid w:val="002F77CA"/>
    <w:rsid w:val="0031148E"/>
    <w:rsid w:val="00340DA8"/>
    <w:rsid w:val="00362C4E"/>
    <w:rsid w:val="00380CD4"/>
    <w:rsid w:val="00383EBA"/>
    <w:rsid w:val="00386EE7"/>
    <w:rsid w:val="003C0A31"/>
    <w:rsid w:val="003C2375"/>
    <w:rsid w:val="003D2DB8"/>
    <w:rsid w:val="003D3C79"/>
    <w:rsid w:val="003F08FB"/>
    <w:rsid w:val="003F4BA6"/>
    <w:rsid w:val="00411BA4"/>
    <w:rsid w:val="004177A6"/>
    <w:rsid w:val="004466B4"/>
    <w:rsid w:val="00474E92"/>
    <w:rsid w:val="004A3ADD"/>
    <w:rsid w:val="004D7D30"/>
    <w:rsid w:val="004F1996"/>
    <w:rsid w:val="00510132"/>
    <w:rsid w:val="005337AC"/>
    <w:rsid w:val="005939B2"/>
    <w:rsid w:val="00594446"/>
    <w:rsid w:val="005C0C12"/>
    <w:rsid w:val="005C36EB"/>
    <w:rsid w:val="005D4305"/>
    <w:rsid w:val="005E1FD3"/>
    <w:rsid w:val="005E6EC0"/>
    <w:rsid w:val="005F36E7"/>
    <w:rsid w:val="00604A63"/>
    <w:rsid w:val="00625CFC"/>
    <w:rsid w:val="0063684D"/>
    <w:rsid w:val="006410CA"/>
    <w:rsid w:val="006544EA"/>
    <w:rsid w:val="00671F97"/>
    <w:rsid w:val="00682060"/>
    <w:rsid w:val="006A59AE"/>
    <w:rsid w:val="006A5F2D"/>
    <w:rsid w:val="006E1417"/>
    <w:rsid w:val="006E3596"/>
    <w:rsid w:val="006E626D"/>
    <w:rsid w:val="00715AC5"/>
    <w:rsid w:val="00715F52"/>
    <w:rsid w:val="007547E3"/>
    <w:rsid w:val="007719DB"/>
    <w:rsid w:val="00772D8A"/>
    <w:rsid w:val="0078321A"/>
    <w:rsid w:val="00791653"/>
    <w:rsid w:val="00793D4E"/>
    <w:rsid w:val="007A1145"/>
    <w:rsid w:val="007A6C0E"/>
    <w:rsid w:val="007B1068"/>
    <w:rsid w:val="007C5442"/>
    <w:rsid w:val="00803D45"/>
    <w:rsid w:val="00823196"/>
    <w:rsid w:val="008438EE"/>
    <w:rsid w:val="00857966"/>
    <w:rsid w:val="008667DB"/>
    <w:rsid w:val="00872548"/>
    <w:rsid w:val="00896F1A"/>
    <w:rsid w:val="008A7081"/>
    <w:rsid w:val="008A7F18"/>
    <w:rsid w:val="008B6EBB"/>
    <w:rsid w:val="008C1C9F"/>
    <w:rsid w:val="008E0360"/>
    <w:rsid w:val="008E425F"/>
    <w:rsid w:val="008F4AA6"/>
    <w:rsid w:val="00901263"/>
    <w:rsid w:val="009222B2"/>
    <w:rsid w:val="00927C70"/>
    <w:rsid w:val="00940772"/>
    <w:rsid w:val="00957B79"/>
    <w:rsid w:val="009740D8"/>
    <w:rsid w:val="009834BE"/>
    <w:rsid w:val="00986EB0"/>
    <w:rsid w:val="009C05F8"/>
    <w:rsid w:val="009C476A"/>
    <w:rsid w:val="009F0394"/>
    <w:rsid w:val="009F0FBB"/>
    <w:rsid w:val="009F502C"/>
    <w:rsid w:val="00A12A74"/>
    <w:rsid w:val="00A17892"/>
    <w:rsid w:val="00A50FC5"/>
    <w:rsid w:val="00A613FC"/>
    <w:rsid w:val="00A672A5"/>
    <w:rsid w:val="00A9428A"/>
    <w:rsid w:val="00AE44B0"/>
    <w:rsid w:val="00AF3800"/>
    <w:rsid w:val="00AF7133"/>
    <w:rsid w:val="00B33B9D"/>
    <w:rsid w:val="00B431CC"/>
    <w:rsid w:val="00B620CE"/>
    <w:rsid w:val="00B678BF"/>
    <w:rsid w:val="00B67E25"/>
    <w:rsid w:val="00B879DC"/>
    <w:rsid w:val="00BF0DDD"/>
    <w:rsid w:val="00BF1961"/>
    <w:rsid w:val="00BF54EC"/>
    <w:rsid w:val="00C735CE"/>
    <w:rsid w:val="00CA156B"/>
    <w:rsid w:val="00CB7199"/>
    <w:rsid w:val="00CC5043"/>
    <w:rsid w:val="00CC7194"/>
    <w:rsid w:val="00CE39B1"/>
    <w:rsid w:val="00D0563A"/>
    <w:rsid w:val="00D217A2"/>
    <w:rsid w:val="00D45AF9"/>
    <w:rsid w:val="00D70F3F"/>
    <w:rsid w:val="00D7137A"/>
    <w:rsid w:val="00D73EA3"/>
    <w:rsid w:val="00D757BE"/>
    <w:rsid w:val="00D84827"/>
    <w:rsid w:val="00DC626A"/>
    <w:rsid w:val="00DE0FD4"/>
    <w:rsid w:val="00E067F3"/>
    <w:rsid w:val="00E17358"/>
    <w:rsid w:val="00E203AF"/>
    <w:rsid w:val="00E569F0"/>
    <w:rsid w:val="00E6346D"/>
    <w:rsid w:val="00E948D6"/>
    <w:rsid w:val="00E96391"/>
    <w:rsid w:val="00EA37A4"/>
    <w:rsid w:val="00EC0147"/>
    <w:rsid w:val="00ED2CB4"/>
    <w:rsid w:val="00EE1EAD"/>
    <w:rsid w:val="00EF043B"/>
    <w:rsid w:val="00F016E3"/>
    <w:rsid w:val="00F0252B"/>
    <w:rsid w:val="00F24443"/>
    <w:rsid w:val="00F24894"/>
    <w:rsid w:val="00F5594D"/>
    <w:rsid w:val="00F847FA"/>
    <w:rsid w:val="00FA3CEF"/>
    <w:rsid w:val="00FA698F"/>
    <w:rsid w:val="00FB66EE"/>
    <w:rsid w:val="00FD6073"/>
    <w:rsid w:val="00FF0ADC"/>
    <w:rsid w:val="00FF73BD"/>
    <w:rsid w:val="077A6327"/>
    <w:rsid w:val="0A882A73"/>
    <w:rsid w:val="0C877C22"/>
    <w:rsid w:val="0DC5350A"/>
    <w:rsid w:val="17F026FE"/>
    <w:rsid w:val="19E07920"/>
    <w:rsid w:val="21374228"/>
    <w:rsid w:val="22B83CAC"/>
    <w:rsid w:val="24022A50"/>
    <w:rsid w:val="25EF4823"/>
    <w:rsid w:val="281B4A4E"/>
    <w:rsid w:val="299A2186"/>
    <w:rsid w:val="2AE72C20"/>
    <w:rsid w:val="3173238F"/>
    <w:rsid w:val="344126AB"/>
    <w:rsid w:val="3D577A2C"/>
    <w:rsid w:val="3F02662C"/>
    <w:rsid w:val="4402153D"/>
    <w:rsid w:val="44C62C88"/>
    <w:rsid w:val="469B34CB"/>
    <w:rsid w:val="473C7562"/>
    <w:rsid w:val="48D506E5"/>
    <w:rsid w:val="4D8666E1"/>
    <w:rsid w:val="4EC40761"/>
    <w:rsid w:val="4FBE461F"/>
    <w:rsid w:val="532A6D95"/>
    <w:rsid w:val="53B22D9F"/>
    <w:rsid w:val="5738626C"/>
    <w:rsid w:val="5B131281"/>
    <w:rsid w:val="5C977355"/>
    <w:rsid w:val="5E0E78D7"/>
    <w:rsid w:val="5E4B09E4"/>
    <w:rsid w:val="5F742E0C"/>
    <w:rsid w:val="5FF62D63"/>
    <w:rsid w:val="600D6666"/>
    <w:rsid w:val="607F10D9"/>
    <w:rsid w:val="615E2FED"/>
    <w:rsid w:val="64FC286A"/>
    <w:rsid w:val="66FF5FA4"/>
    <w:rsid w:val="67A46E76"/>
    <w:rsid w:val="694B278E"/>
    <w:rsid w:val="6A63591B"/>
    <w:rsid w:val="6BC013F9"/>
    <w:rsid w:val="6CEF3EB1"/>
    <w:rsid w:val="740856CD"/>
    <w:rsid w:val="74BF2E82"/>
    <w:rsid w:val="7CB8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21"/>
    <w:semiHidden/>
    <w:unhideWhenUsed/>
    <w:qFormat/>
    <w:uiPriority w:val="99"/>
    <w:rPr>
      <w:sz w:val="18"/>
      <w:szCs w:val="18"/>
    </w:rPr>
  </w:style>
  <w:style w:type="paragraph" w:styleId="3">
    <w:name w:val="index 5"/>
    <w:basedOn w:val="1"/>
    <w:next w:val="1"/>
    <w:qFormat/>
    <w:uiPriority w:val="99"/>
    <w:pPr>
      <w:ind w:left="1680"/>
    </w:pPr>
  </w:style>
  <w:style w:type="paragraph" w:styleId="5">
    <w:name w:val="annotation text"/>
    <w:basedOn w:val="1"/>
    <w:link w:val="24"/>
    <w:semiHidden/>
    <w:unhideWhenUsed/>
    <w:qFormat/>
    <w:uiPriority w:val="99"/>
    <w:pPr>
      <w:jc w:val="left"/>
    </w:p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51"/>
    <w:unhideWhenUsed/>
    <w:qFormat/>
    <w:uiPriority w:val="99"/>
    <w:pPr>
      <w:snapToGrid w:val="0"/>
      <w:jc w:val="left"/>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5"/>
    <w:semiHidden/>
    <w:unhideWhenUsed/>
    <w:qFormat/>
    <w:uiPriority w:val="99"/>
    <w:rPr>
      <w:b/>
      <w:bCs/>
    </w:rPr>
  </w:style>
  <w:style w:type="table" w:styleId="12">
    <w:name w:val="Table Grid"/>
    <w:basedOn w:val="11"/>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semiHidden/>
    <w:unhideWhenUsed/>
    <w:qFormat/>
    <w:uiPriority w:val="99"/>
    <w:rPr>
      <w:color w:val="800080"/>
      <w:u w:val="none"/>
    </w:rPr>
  </w:style>
  <w:style w:type="character" w:styleId="16">
    <w:name w:val="Hyperlink"/>
    <w:basedOn w:val="13"/>
    <w:semiHidden/>
    <w:unhideWhenUsed/>
    <w:qFormat/>
    <w:uiPriority w:val="99"/>
    <w:rPr>
      <w:color w:val="0000FF"/>
      <w:u w:val="none"/>
    </w:rPr>
  </w:style>
  <w:style w:type="character" w:styleId="17">
    <w:name w:val="annotation reference"/>
    <w:basedOn w:val="13"/>
    <w:semiHidden/>
    <w:unhideWhenUsed/>
    <w:qFormat/>
    <w:uiPriority w:val="99"/>
    <w:rPr>
      <w:sz w:val="21"/>
      <w:szCs w:val="21"/>
    </w:rPr>
  </w:style>
  <w:style w:type="character" w:styleId="18">
    <w:name w:val="footnote reference"/>
    <w:unhideWhenUsed/>
    <w:qFormat/>
    <w:uiPriority w:val="99"/>
    <w:rPr>
      <w:vertAlign w:val="superscript"/>
    </w:rPr>
  </w:style>
  <w:style w:type="character" w:customStyle="1" w:styleId="19">
    <w:name w:val="页眉 字符"/>
    <w:basedOn w:val="13"/>
    <w:link w:val="7"/>
    <w:qFormat/>
    <w:uiPriority w:val="99"/>
    <w:rPr>
      <w:sz w:val="18"/>
      <w:szCs w:val="18"/>
    </w:rPr>
  </w:style>
  <w:style w:type="character" w:customStyle="1" w:styleId="20">
    <w:name w:val="页脚 字符"/>
    <w:basedOn w:val="13"/>
    <w:link w:val="6"/>
    <w:qFormat/>
    <w:uiPriority w:val="99"/>
    <w:rPr>
      <w:sz w:val="18"/>
      <w:szCs w:val="18"/>
    </w:rPr>
  </w:style>
  <w:style w:type="character" w:customStyle="1" w:styleId="21">
    <w:name w:val="批注框文本 字符"/>
    <w:basedOn w:val="13"/>
    <w:link w:val="2"/>
    <w:semiHidden/>
    <w:qFormat/>
    <w:uiPriority w:val="99"/>
    <w:rPr>
      <w:rFonts w:asciiTheme="minorHAnsi" w:hAnsiTheme="minorHAnsi" w:eastAsiaTheme="minorEastAsia" w:cstheme="minorBidi"/>
      <w:kern w:val="2"/>
      <w:sz w:val="18"/>
      <w:szCs w:val="18"/>
    </w:rPr>
  </w:style>
  <w:style w:type="character" w:customStyle="1" w:styleId="22">
    <w:name w:val="标题 1 字符"/>
    <w:basedOn w:val="13"/>
    <w:link w:val="4"/>
    <w:qFormat/>
    <w:uiPriority w:val="9"/>
    <w:rPr>
      <w:rFonts w:ascii="宋体" w:hAnsi="宋体" w:cs="宋体"/>
      <w:b/>
      <w:bCs/>
      <w:kern w:val="36"/>
      <w:sz w:val="48"/>
      <w:szCs w:val="48"/>
    </w:rPr>
  </w:style>
  <w:style w:type="paragraph" w:customStyle="1" w:styleId="23">
    <w:name w:val="列出段落2"/>
    <w:basedOn w:val="1"/>
    <w:qFormat/>
    <w:uiPriority w:val="34"/>
    <w:pPr>
      <w:ind w:firstLine="420" w:firstLineChars="200"/>
    </w:pPr>
    <w:rPr>
      <w:rFonts w:ascii="Times New Roman" w:hAnsi="Times New Roman"/>
      <w:szCs w:val="24"/>
    </w:rPr>
  </w:style>
  <w:style w:type="character" w:customStyle="1" w:styleId="24">
    <w:name w:val="批注文字 字符"/>
    <w:basedOn w:val="13"/>
    <w:link w:val="5"/>
    <w:semiHidden/>
    <w:qFormat/>
    <w:uiPriority w:val="99"/>
    <w:rPr>
      <w:rFonts w:asciiTheme="minorHAnsi" w:hAnsiTheme="minorHAnsi" w:eastAsiaTheme="minorEastAsia" w:cstheme="minorBidi"/>
      <w:kern w:val="2"/>
      <w:sz w:val="21"/>
      <w:szCs w:val="22"/>
    </w:rPr>
  </w:style>
  <w:style w:type="character" w:customStyle="1" w:styleId="25">
    <w:name w:val="批注主题 字符"/>
    <w:basedOn w:val="24"/>
    <w:link w:val="10"/>
    <w:semiHidden/>
    <w:qFormat/>
    <w:uiPriority w:val="99"/>
    <w:rPr>
      <w:rFonts w:asciiTheme="minorHAnsi" w:hAnsiTheme="minorHAnsi" w:eastAsiaTheme="minorEastAsia" w:cstheme="minorBidi"/>
      <w:b/>
      <w:bCs/>
      <w:kern w:val="2"/>
      <w:sz w:val="21"/>
      <w:szCs w:val="22"/>
    </w:rPr>
  </w:style>
  <w:style w:type="paragraph" w:customStyle="1" w:styleId="2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8">
    <w:name w:val="font7"/>
    <w:basedOn w:val="1"/>
    <w:qFormat/>
    <w:uiPriority w:val="0"/>
    <w:pPr>
      <w:widowControl/>
      <w:spacing w:before="100" w:beforeAutospacing="1" w:after="100" w:afterAutospacing="1"/>
      <w:jc w:val="left"/>
    </w:pPr>
    <w:rPr>
      <w:rFonts w:ascii="等线" w:hAnsi="等线" w:eastAsia="等线" w:cs="宋体"/>
      <w:color w:val="000000"/>
      <w:kern w:val="0"/>
      <w:sz w:val="24"/>
      <w:szCs w:val="24"/>
    </w:rPr>
  </w:style>
  <w:style w:type="paragraph" w:customStyle="1" w:styleId="29">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1">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 w:val="24"/>
      <w:szCs w:val="24"/>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rPr>
  </w:style>
  <w:style w:type="paragraph" w:customStyle="1" w:styleId="4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Light" w:hAnsi="微软雅黑 Light" w:eastAsia="宋体" w:cs="宋体"/>
      <w:color w:val="000000"/>
      <w:kern w:val="0"/>
      <w:sz w:val="24"/>
      <w:szCs w:val="24"/>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Light" w:hAnsi="微软雅黑 Light" w:eastAsia="宋体" w:cs="宋体"/>
      <w:color w:val="000000"/>
      <w:kern w:val="0"/>
      <w:sz w:val="24"/>
      <w:szCs w:val="24"/>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Light" w:hAnsi="微软雅黑 Light" w:eastAsia="宋体" w:cs="宋体"/>
      <w:color w:val="000000"/>
      <w:kern w:val="0"/>
      <w:sz w:val="24"/>
      <w:szCs w:val="24"/>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character" w:customStyle="1" w:styleId="51">
    <w:name w:val="脚注文本 字符"/>
    <w:basedOn w:val="13"/>
    <w:link w:val="8"/>
    <w:qFormat/>
    <w:uiPriority w:val="99"/>
    <w:rPr>
      <w:rFonts w:asciiTheme="minorHAnsi" w:hAnsiTheme="minorHAnsi" w:eastAsiaTheme="minorEastAsia" w:cstheme="minorBidi"/>
      <w:kern w:val="2"/>
      <w:sz w:val="18"/>
      <w:szCs w:val="18"/>
    </w:rPr>
  </w:style>
  <w:style w:type="paragraph" w:styleId="52">
    <w:name w:val="List Paragraph"/>
    <w:basedOn w:val="1"/>
    <w:qFormat/>
    <w:uiPriority w:val="99"/>
    <w:pPr>
      <w:ind w:firstLine="420" w:firstLineChars="200"/>
    </w:pPr>
  </w:style>
  <w:style w:type="paragraph" w:customStyle="1" w:styleId="5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5</Pages>
  <Words>338</Words>
  <Characters>1931</Characters>
  <Lines>16</Lines>
  <Paragraphs>4</Paragraphs>
  <TotalTime>0</TotalTime>
  <ScaleCrop>false</ScaleCrop>
  <LinksUpToDate>false</LinksUpToDate>
  <CharactersWithSpaces>2265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2023-07-13T04:54:00Z</dcterms:created>
  <dc:creator>xtzj</dc:creator>
  <cp:lastModifiedBy>HP</cp:lastModifiedBy>
  <cp:lastPrinted>2022-08-29T02:41:00Z</cp:lastPrinted>
  <dcterms:modified xsi:type="dcterms:W3CDTF">2023-11-09T02:02:23Z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60F3666E74C34E86876E1D74B7D51CB2</vt:lpwstr>
  </property>
</Properties>
</file>