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39" w:line="219" w:lineRule="auto"/>
        <w:ind w:left="0" w:leftChars="0" w:firstLine="0" w:firstLineChars="0"/>
        <w:jc w:val="left"/>
        <w:outlineLvl w:val="0"/>
        <w:rPr>
          <w:rFonts w:hint="default" w:ascii="宋体" w:hAnsi="宋体" w:eastAsia="宋体" w:cs="宋体"/>
          <w:b w:val="0"/>
          <w:bCs w:val="0"/>
          <w:spacing w:val="-1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pacing w:val="-10"/>
          <w:sz w:val="28"/>
          <w:szCs w:val="28"/>
          <w:lang w:val="en-US" w:eastAsia="zh-CN"/>
        </w:rPr>
        <w:t>附件2</w:t>
      </w:r>
      <w:bookmarkStart w:id="0" w:name="_GoBack"/>
      <w:bookmarkEnd w:id="0"/>
      <w:r>
        <w:rPr>
          <w:rFonts w:hint="eastAsia" w:ascii="宋体" w:hAnsi="宋体" w:eastAsia="宋体" w:cs="宋体"/>
          <w:b w:val="0"/>
          <w:bCs w:val="0"/>
          <w:spacing w:val="-10"/>
          <w:sz w:val="28"/>
          <w:szCs w:val="28"/>
          <w:lang w:val="en-US" w:eastAsia="zh-CN"/>
        </w:rPr>
        <w:t>：</w:t>
      </w:r>
    </w:p>
    <w:p>
      <w:pPr>
        <w:spacing w:before="239" w:line="219" w:lineRule="auto"/>
        <w:ind w:left="0" w:leftChars="0" w:firstLine="0" w:firstLineChars="0"/>
        <w:jc w:val="center"/>
        <w:outlineLvl w:val="0"/>
        <w:rPr>
          <w:rFonts w:ascii="宋体" w:hAnsi="宋体" w:eastAsia="宋体" w:cs="宋体"/>
          <w:sz w:val="41"/>
          <w:szCs w:val="41"/>
        </w:rPr>
      </w:pPr>
      <w:r>
        <w:rPr>
          <w:rFonts w:hint="eastAsia" w:ascii="宋体" w:hAnsi="宋体" w:eastAsia="宋体" w:cs="宋体"/>
          <w:b/>
          <w:bCs/>
          <w:spacing w:val="-10"/>
          <w:sz w:val="41"/>
          <w:szCs w:val="41"/>
          <w:lang w:val="en-US" w:eastAsia="zh-CN"/>
        </w:rPr>
        <w:t>2023年校级</w:t>
      </w:r>
      <w:r>
        <w:rPr>
          <w:rFonts w:ascii="宋体" w:hAnsi="宋体" w:eastAsia="宋体" w:cs="宋体"/>
          <w:b/>
          <w:bCs/>
          <w:spacing w:val="-10"/>
          <w:sz w:val="41"/>
          <w:szCs w:val="41"/>
        </w:rPr>
        <w:t>课程思政</w:t>
      </w:r>
      <w:r>
        <w:rPr>
          <w:rFonts w:hint="eastAsia" w:ascii="宋体" w:hAnsi="宋体" w:eastAsia="宋体" w:cs="宋体"/>
          <w:b/>
          <w:bCs/>
          <w:spacing w:val="-10"/>
          <w:sz w:val="41"/>
          <w:szCs w:val="41"/>
          <w:lang w:val="en-US" w:eastAsia="zh-CN"/>
        </w:rPr>
        <w:t>示范课</w:t>
      </w:r>
      <w:r>
        <w:rPr>
          <w:rFonts w:ascii="宋体" w:hAnsi="宋体" w:eastAsia="宋体" w:cs="宋体"/>
          <w:b/>
          <w:bCs/>
          <w:spacing w:val="-10"/>
          <w:sz w:val="41"/>
          <w:szCs w:val="41"/>
        </w:rPr>
        <w:t>教学竞赛评分标准</w:t>
      </w:r>
    </w:p>
    <w:tbl>
      <w:tblPr>
        <w:tblStyle w:val="4"/>
        <w:tblpPr w:leftFromText="180" w:rightFromText="180" w:vertAnchor="text" w:horzAnchor="page" w:tblpX="2224" w:tblpY="167"/>
        <w:tblOverlap w:val="never"/>
        <w:tblW w:w="901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7"/>
        <w:gridCol w:w="6090"/>
        <w:gridCol w:w="675"/>
        <w:gridCol w:w="111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1137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/>
              <w:jc w:val="center"/>
              <w:textAlignment w:val="baseline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</w:rPr>
              <w:t>评价指标</w:t>
            </w:r>
          </w:p>
        </w:tc>
        <w:tc>
          <w:tcPr>
            <w:tcW w:w="609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</w:rPr>
              <w:t>具体内容</w:t>
            </w:r>
          </w:p>
        </w:tc>
        <w:tc>
          <w:tcPr>
            <w:tcW w:w="67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</w:rPr>
              <w:t>分值</w:t>
            </w:r>
          </w:p>
        </w:tc>
        <w:tc>
          <w:tcPr>
            <w:tcW w:w="1112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/>
                <w:b/>
                <w:bCs/>
                <w:spacing w:val="-4"/>
                <w:lang w:val="en-US" w:eastAsia="zh-CN"/>
              </w:rPr>
            </w:pPr>
            <w:r>
              <w:rPr>
                <w:rFonts w:hint="eastAsia"/>
                <w:b/>
                <w:bCs/>
                <w:spacing w:val="-4"/>
                <w:lang w:val="en-US" w:eastAsia="zh-CN"/>
              </w:rPr>
              <w:t>得分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atLeast"/>
        </w:trPr>
        <w:tc>
          <w:tcPr>
            <w:tcW w:w="1137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/>
              <w:jc w:val="center"/>
              <w:textAlignment w:val="baseline"/>
            </w:pPr>
            <w:r>
              <w:rPr>
                <w:spacing w:val="2"/>
              </w:rPr>
              <w:t>学情分析</w:t>
            </w:r>
          </w:p>
        </w:tc>
        <w:tc>
          <w:tcPr>
            <w:tcW w:w="609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68" w:line="240" w:lineRule="auto"/>
              <w:ind w:firstLine="0" w:firstLineChars="0"/>
              <w:jc w:val="both"/>
              <w:textAlignment w:val="baseline"/>
              <w:rPr>
                <w:spacing w:val="-1"/>
              </w:rPr>
            </w:pPr>
            <w:r>
              <w:rPr>
                <w:spacing w:val="-1"/>
              </w:rPr>
              <w:t>对学生学科知识、认知特征和情感态度等内容进行精准分析</w:t>
            </w:r>
            <w:r>
              <w:rPr>
                <w:rFonts w:hint="eastAsia"/>
                <w:spacing w:val="-1"/>
                <w:lang w:eastAsia="zh-CN"/>
              </w:rPr>
              <w:t>。</w:t>
            </w:r>
            <w:r>
              <w:rPr>
                <w:spacing w:val="-1"/>
              </w:rPr>
              <w:t>坚持问题导向，突出业务教学和思想政治教育的针对性。</w:t>
            </w:r>
          </w:p>
        </w:tc>
        <w:tc>
          <w:tcPr>
            <w:tcW w:w="675" w:type="dxa"/>
            <w:vAlign w:val="center"/>
          </w:tcPr>
          <w:p>
            <w:pPr>
              <w:pStyle w:val="5"/>
              <w:spacing w:before="71" w:line="182" w:lineRule="auto"/>
              <w:jc w:val="center"/>
            </w:pPr>
            <w:r>
              <w:t>5</w:t>
            </w:r>
          </w:p>
        </w:tc>
        <w:tc>
          <w:tcPr>
            <w:tcW w:w="1112" w:type="dxa"/>
            <w:vAlign w:val="top"/>
          </w:tcPr>
          <w:p>
            <w:pPr>
              <w:pStyle w:val="5"/>
              <w:spacing w:before="71" w:line="182" w:lineRule="auto"/>
              <w:ind w:left="349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9" w:hRule="atLeast"/>
        </w:trPr>
        <w:tc>
          <w:tcPr>
            <w:tcW w:w="1137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/>
              <w:jc w:val="center"/>
              <w:textAlignment w:val="baseline"/>
            </w:pPr>
            <w:r>
              <w:rPr>
                <w:spacing w:val="2"/>
              </w:rPr>
              <w:t>教材分析</w:t>
            </w:r>
          </w:p>
        </w:tc>
        <w:tc>
          <w:tcPr>
            <w:tcW w:w="609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68" w:line="240" w:lineRule="auto"/>
              <w:ind w:firstLine="0" w:firstLineChars="0"/>
              <w:jc w:val="both"/>
              <w:textAlignment w:val="baseline"/>
              <w:rPr>
                <w:spacing w:val="-1"/>
              </w:rPr>
            </w:pPr>
            <w:r>
              <w:rPr>
                <w:rFonts w:hint="eastAsia"/>
                <w:spacing w:val="-1"/>
              </w:rPr>
              <w:t>对本设计涉及到的教材内容及其作用作简明扼要的分析，为教学思路、重难点等内容的确定提供依据。</w:t>
            </w:r>
          </w:p>
        </w:tc>
        <w:tc>
          <w:tcPr>
            <w:tcW w:w="675" w:type="dxa"/>
            <w:vAlign w:val="center"/>
          </w:tcPr>
          <w:p>
            <w:pPr>
              <w:pStyle w:val="5"/>
              <w:spacing w:before="71" w:line="182" w:lineRule="auto"/>
              <w:jc w:val="center"/>
            </w:pPr>
            <w:r>
              <w:t>5</w:t>
            </w:r>
          </w:p>
        </w:tc>
        <w:tc>
          <w:tcPr>
            <w:tcW w:w="1112" w:type="dxa"/>
            <w:vAlign w:val="top"/>
          </w:tcPr>
          <w:p>
            <w:pPr>
              <w:pStyle w:val="5"/>
              <w:spacing w:before="71" w:line="182" w:lineRule="auto"/>
              <w:ind w:left="349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2" w:hRule="atLeast"/>
        </w:trPr>
        <w:tc>
          <w:tcPr>
            <w:tcW w:w="1137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/>
              <w:jc w:val="center"/>
              <w:textAlignment w:val="baseline"/>
              <w:rPr>
                <w:spacing w:val="2"/>
              </w:rPr>
            </w:pPr>
            <w:r>
              <w:rPr>
                <w:spacing w:val="-3"/>
              </w:rPr>
              <w:t>教学目标</w:t>
            </w:r>
          </w:p>
        </w:tc>
        <w:tc>
          <w:tcPr>
            <w:tcW w:w="6090" w:type="dxa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68" w:line="240" w:lineRule="auto"/>
              <w:ind w:firstLine="0" w:firstLineChars="0"/>
              <w:jc w:val="both"/>
              <w:textAlignment w:val="baseline"/>
              <w:rPr>
                <w:spacing w:val="-1"/>
              </w:rPr>
            </w:pPr>
            <w:r>
              <w:rPr>
                <w:spacing w:val="-1"/>
              </w:rPr>
              <w:t>目标设计恰当，符合课程要求、</w:t>
            </w:r>
            <w:r>
              <w:rPr>
                <w:rFonts w:hint="eastAsia"/>
                <w:spacing w:val="-1"/>
                <w:lang w:val="en-US" w:eastAsia="zh-CN"/>
              </w:rPr>
              <w:t>专业</w:t>
            </w:r>
            <w:r>
              <w:rPr>
                <w:spacing w:val="-1"/>
              </w:rPr>
              <w:t>特点和学生实际；明确具体、可观察、可测评、可达成；思政目标无缝对接知识、能力目标。</w:t>
            </w:r>
          </w:p>
        </w:tc>
        <w:tc>
          <w:tcPr>
            <w:tcW w:w="675" w:type="dxa"/>
            <w:vAlign w:val="center"/>
          </w:tcPr>
          <w:p>
            <w:pPr>
              <w:pStyle w:val="5"/>
              <w:spacing w:before="72" w:line="184" w:lineRule="auto"/>
              <w:jc w:val="center"/>
              <w:rPr>
                <w:spacing w:val="-3"/>
              </w:rPr>
            </w:pPr>
            <w:r>
              <w:rPr>
                <w:spacing w:val="-7"/>
              </w:rPr>
              <w:t>10</w:t>
            </w:r>
          </w:p>
        </w:tc>
        <w:tc>
          <w:tcPr>
            <w:tcW w:w="1112" w:type="dxa"/>
            <w:vAlign w:val="top"/>
          </w:tcPr>
          <w:p>
            <w:pPr>
              <w:pStyle w:val="5"/>
              <w:spacing w:before="72" w:line="184" w:lineRule="auto"/>
              <w:ind w:left="289" w:leftChars="0"/>
              <w:rPr>
                <w:spacing w:val="-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2" w:hRule="atLeast"/>
        </w:trPr>
        <w:tc>
          <w:tcPr>
            <w:tcW w:w="1137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/>
              <w:jc w:val="center"/>
              <w:textAlignment w:val="baseline"/>
            </w:pPr>
            <w:r>
              <w:rPr>
                <w:spacing w:val="2"/>
              </w:rPr>
              <w:t>教学内容</w:t>
            </w:r>
          </w:p>
        </w:tc>
        <w:tc>
          <w:tcPr>
            <w:tcW w:w="6090" w:type="dxa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68" w:line="240" w:lineRule="auto"/>
              <w:ind w:firstLine="0" w:firstLineChars="0"/>
              <w:jc w:val="both"/>
              <w:textAlignment w:val="baseline"/>
              <w:rPr>
                <w:spacing w:val="-1"/>
              </w:rPr>
            </w:pPr>
            <w:r>
              <w:rPr>
                <w:spacing w:val="-1"/>
              </w:rPr>
              <w:t>教学信息量充足，符合学生认知规律，具有较好的“高阶性”</w:t>
            </w:r>
            <w:r>
              <w:rPr>
                <w:rFonts w:hint="eastAsia"/>
                <w:spacing w:val="-1"/>
                <w:lang w:val="en-US" w:eastAsia="zh-CN"/>
              </w:rPr>
              <w:t xml:space="preserve"> </w:t>
            </w:r>
            <w:r>
              <w:rPr>
                <w:spacing w:val="-1"/>
              </w:rPr>
              <w:t>“创新性”和一定的“挑战度”。运用思想政治理论教育的原则、方法处理教材，</w:t>
            </w:r>
            <w:r>
              <w:rPr>
                <w:rFonts w:hint="eastAsia"/>
                <w:spacing w:val="-1"/>
                <w:lang w:val="en-US" w:eastAsia="zh-CN"/>
              </w:rPr>
              <w:t>融入</w:t>
            </w:r>
            <w:r>
              <w:rPr>
                <w:spacing w:val="-1"/>
              </w:rPr>
              <w:t>社会主义核心价值观教育、法治教</w:t>
            </w:r>
            <w:r>
              <w:rPr>
                <w:rFonts w:hint="eastAsia"/>
                <w:spacing w:val="-1"/>
                <w:lang w:val="en-US" w:eastAsia="zh-CN"/>
              </w:rPr>
              <w:t xml:space="preserve">  </w:t>
            </w:r>
            <w:r>
              <w:rPr>
                <w:spacing w:val="-1"/>
              </w:rPr>
              <w:t>育、</w:t>
            </w:r>
            <w:r>
              <w:rPr>
                <w:rFonts w:hint="eastAsia"/>
                <w:spacing w:val="-1"/>
                <w:lang w:val="en-US" w:eastAsia="zh-CN"/>
              </w:rPr>
              <w:t>工匠精神、</w:t>
            </w:r>
            <w:r>
              <w:rPr>
                <w:spacing w:val="-1"/>
              </w:rPr>
              <w:t>劳动教育、中华优秀传统文化教育。潜移默化地对学生的思想意识、行为举止产生积极影响，实现价值塑</w:t>
            </w:r>
            <w:r>
              <w:rPr>
                <w:rFonts w:hint="eastAsia"/>
                <w:spacing w:val="-1"/>
                <w:lang w:val="en-US" w:eastAsia="zh-CN"/>
              </w:rPr>
              <w:t xml:space="preserve">  </w:t>
            </w:r>
            <w:r>
              <w:rPr>
                <w:spacing w:val="-1"/>
              </w:rPr>
              <w:t>造、知识传授和能力培养相融合、教书与育人相统一。</w:t>
            </w:r>
          </w:p>
        </w:tc>
        <w:tc>
          <w:tcPr>
            <w:tcW w:w="675" w:type="dxa"/>
            <w:vAlign w:val="center"/>
          </w:tcPr>
          <w:p>
            <w:pPr>
              <w:pStyle w:val="5"/>
              <w:spacing w:before="71" w:line="183" w:lineRule="auto"/>
              <w:jc w:val="center"/>
            </w:pPr>
            <w:r>
              <w:rPr>
                <w:spacing w:val="-3"/>
              </w:rPr>
              <w:t>25</w:t>
            </w:r>
          </w:p>
        </w:tc>
        <w:tc>
          <w:tcPr>
            <w:tcW w:w="1112" w:type="dxa"/>
            <w:vAlign w:val="top"/>
          </w:tcPr>
          <w:p>
            <w:pPr>
              <w:pStyle w:val="5"/>
              <w:spacing w:before="71" w:line="183" w:lineRule="auto"/>
              <w:ind w:left="289"/>
              <w:rPr>
                <w:spacing w:val="-3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9" w:hRule="atLeast"/>
        </w:trPr>
        <w:tc>
          <w:tcPr>
            <w:tcW w:w="1137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/>
              <w:jc w:val="center"/>
              <w:textAlignment w:val="baseline"/>
              <w:rPr>
                <w:rFonts w:hint="eastAsia" w:eastAsia="宋体"/>
                <w:lang w:eastAsia="zh-CN"/>
              </w:rPr>
            </w:pPr>
            <w:r>
              <w:rPr>
                <w:spacing w:val="3"/>
              </w:rPr>
              <w:t>教学</w:t>
            </w:r>
            <w:r>
              <w:rPr>
                <w:rFonts w:hint="eastAsia"/>
                <w:spacing w:val="3"/>
                <w:lang w:val="en-US" w:eastAsia="zh-CN"/>
              </w:rPr>
              <w:t>设计</w:t>
            </w:r>
          </w:p>
        </w:tc>
        <w:tc>
          <w:tcPr>
            <w:tcW w:w="6090" w:type="dxa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68" w:line="240" w:lineRule="auto"/>
              <w:ind w:firstLine="0" w:firstLineChars="0"/>
              <w:jc w:val="both"/>
              <w:textAlignment w:val="baseline"/>
              <w:rPr>
                <w:spacing w:val="-1"/>
              </w:rPr>
            </w:pPr>
            <w:r>
              <w:rPr>
                <w:spacing w:val="-1"/>
              </w:rPr>
              <w:t>讲授、讨论、探究、项目、案例、</w:t>
            </w:r>
            <w:r>
              <w:rPr>
                <w:rFonts w:hint="eastAsia"/>
                <w:spacing w:val="-1"/>
                <w:lang w:val="en-US" w:eastAsia="zh-CN"/>
              </w:rPr>
              <w:t>情景、团队</w:t>
            </w:r>
            <w:r>
              <w:rPr>
                <w:spacing w:val="-1"/>
              </w:rPr>
              <w:t>等教学方法恰当使用，教学举措合理有效。</w:t>
            </w:r>
          </w:p>
        </w:tc>
        <w:tc>
          <w:tcPr>
            <w:tcW w:w="675" w:type="dxa"/>
            <w:vAlign w:val="center"/>
          </w:tcPr>
          <w:p>
            <w:pPr>
              <w:pStyle w:val="5"/>
              <w:spacing w:before="71" w:line="184" w:lineRule="auto"/>
              <w:jc w:val="center"/>
            </w:pPr>
            <w:r>
              <w:rPr>
                <w:spacing w:val="-7"/>
              </w:rPr>
              <w:t>10</w:t>
            </w:r>
          </w:p>
        </w:tc>
        <w:tc>
          <w:tcPr>
            <w:tcW w:w="1112" w:type="dxa"/>
            <w:vAlign w:val="top"/>
          </w:tcPr>
          <w:p>
            <w:pPr>
              <w:pStyle w:val="5"/>
              <w:spacing w:before="71" w:line="184" w:lineRule="auto"/>
              <w:ind w:left="289"/>
              <w:rPr>
                <w:spacing w:val="-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9" w:hRule="atLeast"/>
        </w:trPr>
        <w:tc>
          <w:tcPr>
            <w:tcW w:w="1137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/>
              <w:jc w:val="center"/>
              <w:textAlignment w:val="baseline"/>
            </w:pPr>
            <w:r>
              <w:rPr>
                <w:spacing w:val="2"/>
              </w:rPr>
              <w:t>教学实施</w:t>
            </w:r>
          </w:p>
        </w:tc>
        <w:tc>
          <w:tcPr>
            <w:tcW w:w="6090" w:type="dxa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68" w:line="240" w:lineRule="auto"/>
              <w:ind w:firstLine="0" w:firstLineChars="0"/>
              <w:jc w:val="both"/>
              <w:textAlignment w:val="baseline"/>
              <w:rPr>
                <w:spacing w:val="-1"/>
              </w:rPr>
            </w:pPr>
            <w:r>
              <w:rPr>
                <w:spacing w:val="-1"/>
              </w:rPr>
              <w:t>坚持学生中心，善于提炼课程蕴含的育人因素，能将思想政治教育和专业知识传授融合，教学内容呈现恰当，教学活动组织合理。录制的教学视频教师出境，声画质量好。综合运用现代信息技术手段和数字资源，把思政教育有效融入教学过程，教学方法运用恰当，教学策略使用有</w:t>
            </w:r>
            <w:r>
              <w:rPr>
                <w:spacing w:val="-1"/>
              </w:rPr>
              <w:t>效。</w:t>
            </w:r>
          </w:p>
        </w:tc>
        <w:tc>
          <w:tcPr>
            <w:tcW w:w="675" w:type="dxa"/>
            <w:vAlign w:val="center"/>
          </w:tcPr>
          <w:p>
            <w:pPr>
              <w:pStyle w:val="5"/>
              <w:spacing w:before="72" w:line="183" w:lineRule="auto"/>
              <w:jc w:val="center"/>
            </w:pPr>
            <w:r>
              <w:rPr>
                <w:spacing w:val="-3"/>
              </w:rPr>
              <w:t>25</w:t>
            </w:r>
          </w:p>
        </w:tc>
        <w:tc>
          <w:tcPr>
            <w:tcW w:w="1112" w:type="dxa"/>
            <w:vAlign w:val="top"/>
          </w:tcPr>
          <w:p>
            <w:pPr>
              <w:pStyle w:val="5"/>
              <w:spacing w:before="72" w:line="183" w:lineRule="auto"/>
              <w:ind w:left="289"/>
              <w:rPr>
                <w:spacing w:val="-3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1137" w:type="dxa"/>
            <w:vMerge w:val="restart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/>
              <w:jc w:val="center"/>
              <w:textAlignment w:val="baseline"/>
              <w:rPr>
                <w:spacing w:val="2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教师素养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与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创新特色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/>
              <w:jc w:val="center"/>
              <w:textAlignment w:val="baseline"/>
            </w:pPr>
          </w:p>
        </w:tc>
        <w:tc>
          <w:tcPr>
            <w:tcW w:w="6090" w:type="dxa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68" w:line="240" w:lineRule="auto"/>
              <w:ind w:firstLine="0" w:firstLineChars="0"/>
              <w:jc w:val="both"/>
              <w:textAlignment w:val="baseline"/>
              <w:rPr>
                <w:spacing w:val="-1"/>
              </w:rPr>
            </w:pPr>
            <w:r>
              <w:rPr>
                <w:spacing w:val="-1"/>
              </w:rPr>
              <w:t>具有良好的专业素养、科学精神、人文情怀；教态大方，举止得体，精神饱满，</w:t>
            </w:r>
            <w:r>
              <w:rPr>
                <w:rFonts w:hint="eastAsia"/>
                <w:spacing w:val="-1"/>
              </w:rPr>
              <w:t>语言清晰流畅</w:t>
            </w:r>
            <w:r>
              <w:rPr>
                <w:spacing w:val="-1"/>
              </w:rPr>
              <w:t>，</w:t>
            </w:r>
            <w:r>
              <w:rPr>
                <w:rFonts w:hint="eastAsia"/>
                <w:spacing w:val="-1"/>
              </w:rPr>
              <w:t>准确生动</w:t>
            </w:r>
            <w:r>
              <w:rPr>
                <w:rFonts w:hint="eastAsia"/>
                <w:spacing w:val="-1"/>
                <w:lang w:eastAsia="zh-CN"/>
              </w:rPr>
              <w:t>，</w:t>
            </w:r>
            <w:r>
              <w:rPr>
                <w:rFonts w:hint="eastAsia"/>
                <w:spacing w:val="-1"/>
                <w:lang w:val="en-US" w:eastAsia="zh-CN"/>
              </w:rPr>
              <w:t>具有感染力</w:t>
            </w:r>
            <w:r>
              <w:rPr>
                <w:spacing w:val="-1"/>
              </w:rPr>
              <w:t>综合素质高</w:t>
            </w:r>
            <w:r>
              <w:rPr>
                <w:rFonts w:hint="eastAsia"/>
                <w:spacing w:val="-1"/>
                <w:lang w:eastAsia="zh-CN"/>
              </w:rPr>
              <w:t>，</w:t>
            </w:r>
            <w:r>
              <w:rPr>
                <w:spacing w:val="-1"/>
              </w:rPr>
              <w:t>个人教学特色突出。</w:t>
            </w:r>
          </w:p>
        </w:tc>
        <w:tc>
          <w:tcPr>
            <w:tcW w:w="675" w:type="dxa"/>
            <w:vAlign w:val="center"/>
          </w:tcPr>
          <w:p>
            <w:pPr>
              <w:pStyle w:val="5"/>
              <w:spacing w:before="71" w:line="182" w:lineRule="auto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1112" w:type="dxa"/>
            <w:vAlign w:val="top"/>
          </w:tcPr>
          <w:p>
            <w:pPr>
              <w:pStyle w:val="5"/>
              <w:spacing w:before="71" w:line="182" w:lineRule="auto"/>
              <w:ind w:left="349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</w:trPr>
        <w:tc>
          <w:tcPr>
            <w:tcW w:w="1137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/>
              <w:jc w:val="center"/>
              <w:textAlignment w:val="baseline"/>
            </w:pPr>
          </w:p>
        </w:tc>
        <w:tc>
          <w:tcPr>
            <w:tcW w:w="6090" w:type="dxa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68" w:line="240" w:lineRule="auto"/>
              <w:ind w:firstLine="0" w:firstLineChars="0"/>
              <w:jc w:val="both"/>
              <w:textAlignment w:val="baseline"/>
              <w:rPr>
                <w:spacing w:val="-1"/>
              </w:rPr>
            </w:pPr>
            <w:r>
              <w:rPr>
                <w:spacing w:val="-1"/>
              </w:rPr>
              <w:t>课堂教学能结合课程特色挖掘育人因素，课堂实施成效好特色鲜明，具有较强的示范性。</w:t>
            </w:r>
          </w:p>
        </w:tc>
        <w:tc>
          <w:tcPr>
            <w:tcW w:w="675" w:type="dxa"/>
            <w:vAlign w:val="center"/>
          </w:tcPr>
          <w:p>
            <w:pPr>
              <w:pStyle w:val="5"/>
              <w:spacing w:before="72" w:line="182" w:lineRule="auto"/>
              <w:jc w:val="center"/>
            </w:pPr>
            <w:r>
              <w:t>5</w:t>
            </w:r>
          </w:p>
        </w:tc>
        <w:tc>
          <w:tcPr>
            <w:tcW w:w="1112" w:type="dxa"/>
            <w:vAlign w:val="top"/>
          </w:tcPr>
          <w:p>
            <w:pPr>
              <w:pStyle w:val="5"/>
              <w:spacing w:before="72" w:line="182" w:lineRule="auto"/>
              <w:ind w:left="349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1137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/>
              <w:jc w:val="center"/>
              <w:textAlignment w:val="baseline"/>
            </w:pPr>
            <w:r>
              <w:rPr>
                <w:spacing w:val="2"/>
              </w:rPr>
              <w:t>教学资源</w:t>
            </w:r>
          </w:p>
        </w:tc>
        <w:tc>
          <w:tcPr>
            <w:tcW w:w="6090" w:type="dxa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68" w:line="240" w:lineRule="auto"/>
              <w:ind w:firstLine="0" w:firstLineChars="0"/>
              <w:jc w:val="both"/>
              <w:textAlignment w:val="baseline"/>
              <w:rPr>
                <w:spacing w:val="-1"/>
              </w:rPr>
            </w:pPr>
            <w:r>
              <w:rPr>
                <w:spacing w:val="-1"/>
              </w:rPr>
              <w:t>教学资源推介面广、材料丰富。能有效挖掘课程和教学方式所蕴含的思想政治教育资源。</w:t>
            </w:r>
          </w:p>
        </w:tc>
        <w:tc>
          <w:tcPr>
            <w:tcW w:w="675" w:type="dxa"/>
            <w:vAlign w:val="center"/>
          </w:tcPr>
          <w:p>
            <w:pPr>
              <w:pStyle w:val="5"/>
              <w:spacing w:before="72" w:line="182" w:lineRule="auto"/>
              <w:jc w:val="center"/>
            </w:pPr>
            <w:r>
              <w:t>5</w:t>
            </w:r>
          </w:p>
        </w:tc>
        <w:tc>
          <w:tcPr>
            <w:tcW w:w="1112" w:type="dxa"/>
            <w:vAlign w:val="top"/>
          </w:tcPr>
          <w:p>
            <w:pPr>
              <w:pStyle w:val="5"/>
              <w:spacing w:before="72" w:line="182" w:lineRule="auto"/>
              <w:ind w:left="349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1137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/>
              <w:jc w:val="center"/>
              <w:textAlignment w:val="baseline"/>
              <w:rPr>
                <w:rFonts w:hint="default" w:eastAsia="宋体"/>
                <w:spacing w:val="2"/>
                <w:lang w:val="en-US" w:eastAsia="zh-CN"/>
              </w:rPr>
            </w:pPr>
            <w:r>
              <w:rPr>
                <w:rFonts w:hint="eastAsia"/>
                <w:spacing w:val="2"/>
                <w:lang w:val="en-US" w:eastAsia="zh-CN"/>
              </w:rPr>
              <w:t>评委签名：</w:t>
            </w:r>
          </w:p>
        </w:tc>
        <w:tc>
          <w:tcPr>
            <w:tcW w:w="6090" w:type="dxa"/>
            <w:vAlign w:val="top"/>
          </w:tcPr>
          <w:p>
            <w:pPr>
              <w:pStyle w:val="5"/>
              <w:spacing w:before="168" w:line="261" w:lineRule="auto"/>
              <w:jc w:val="both"/>
              <w:rPr>
                <w:spacing w:val="-1"/>
              </w:rPr>
            </w:pPr>
          </w:p>
        </w:tc>
        <w:tc>
          <w:tcPr>
            <w:tcW w:w="675" w:type="dxa"/>
            <w:vAlign w:val="center"/>
          </w:tcPr>
          <w:p>
            <w:pPr>
              <w:pStyle w:val="5"/>
              <w:spacing w:before="72" w:line="182" w:lineRule="auto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总分</w:t>
            </w:r>
          </w:p>
        </w:tc>
        <w:tc>
          <w:tcPr>
            <w:tcW w:w="1112" w:type="dxa"/>
            <w:vAlign w:val="top"/>
          </w:tcPr>
          <w:p>
            <w:pPr>
              <w:pStyle w:val="5"/>
              <w:spacing w:before="72" w:line="182" w:lineRule="auto"/>
              <w:ind w:left="349"/>
            </w:pPr>
          </w:p>
        </w:tc>
      </w:tr>
    </w:tbl>
    <w:p>
      <w:pPr>
        <w:spacing w:line="167" w:lineRule="exact"/>
      </w:pPr>
    </w:p>
    <w:p>
      <w:pPr>
        <w:rPr>
          <w:rFonts w:ascii="Arial"/>
          <w:sz w:val="21"/>
        </w:rPr>
      </w:pPr>
    </w:p>
    <w:sectPr>
      <w:pgSz w:w="11910" w:h="16840"/>
      <w:pgMar w:top="1431" w:right="1304" w:bottom="0" w:left="1786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NmU3ZTNmYzcxOTgxY2QzODJmMGU2NGNiNTFmMmE5ODMifQ=="/>
  </w:docVars>
  <w:rsids>
    <w:rsidRoot w:val="00000000"/>
    <w:rsid w:val="10C61D50"/>
    <w:rsid w:val="1C1C72A4"/>
    <w:rsid w:val="1DB35DC3"/>
    <w:rsid w:val="27395887"/>
    <w:rsid w:val="288325A9"/>
    <w:rsid w:val="31C559E0"/>
    <w:rsid w:val="348523D7"/>
    <w:rsid w:val="38F031CF"/>
    <w:rsid w:val="3F9D3E21"/>
    <w:rsid w:val="43811FD9"/>
    <w:rsid w:val="45963F34"/>
    <w:rsid w:val="4CB94B39"/>
    <w:rsid w:val="5E7F0052"/>
    <w:rsid w:val="63926B94"/>
    <w:rsid w:val="65921AA2"/>
    <w:rsid w:val="6F4E005A"/>
    <w:rsid w:val="75510823"/>
    <w:rsid w:val="777C610E"/>
    <w:rsid w:val="78397B5B"/>
    <w:rsid w:val="7BFF2E6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5">
    <w:name w:val="Table Text"/>
    <w:basedOn w:val="1"/>
    <w:semiHidden/>
    <w:qFormat/>
    <w:uiPriority w:val="0"/>
    <w:rPr>
      <w:rFonts w:ascii="宋体" w:hAnsi="宋体" w:eastAsia="宋体" w:cs="宋体"/>
      <w:sz w:val="22"/>
      <w:szCs w:val="22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15</TotalTime>
  <ScaleCrop>false</ScaleCrop>
  <LinksUpToDate>false</LinksUpToDate>
  <Application>WPS Office_12.1.0.15712_F1E327BC-269C-435d-A152-05C5408002CA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2023-11-15T08:28:00Z</dcterms:created>
  <dc:creator>Kingsoft-PDF</dc:creator>
  <cp:lastModifiedBy>HELIOS</cp:lastModifiedBy>
  <cp:lastPrinted>2023-11-15T08:02:05Z</cp:lastPrinted>
  <dcterms:modified xsi:type="dcterms:W3CDTF">2023-11-15T08:03:33Z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2023-11-15T08:28:26Z</vt:filetime>
  </property>
  <property fmtid="{D5CDD505-2E9C-101B-9397-08002B2CF9AE}" pid="4" name="UsrData">
    <vt:lpwstr>655410a8f8c111001fbcb76bwl</vt:lpwstr>
  </property>
  <property fmtid="{D5CDD505-2E9C-101B-9397-08002B2CF9AE}" pid="5" name="KSOProductBuildVer">
    <vt:lpwstr>2052-12.1.0.15712</vt:lpwstr>
  </property>
  <property fmtid="{D5CDD505-2E9C-101B-9397-08002B2CF9AE}" pid="6" name="ICV">
    <vt:lpwstr>F371D9C8D8554AECBB79597AB65A2BD5_12</vt:lpwstr>
  </property>
</Properties>
</file>