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b/>
          <w:bCs/>
          <w:sz w:val="28"/>
          <w:szCs w:val="28"/>
        </w:rPr>
      </w:pPr>
      <w:bookmarkStart w:id="0" w:name="_GoBack"/>
      <w:r>
        <w:rPr>
          <w:b/>
          <w:bCs/>
          <w:i w:val="0"/>
          <w:iCs w:val="0"/>
          <w:caps w:val="0"/>
          <w:color w:val="333333"/>
          <w:spacing w:val="0"/>
          <w:sz w:val="28"/>
          <w:szCs w:val="28"/>
          <w:bdr w:val="none" w:color="auto" w:sz="0" w:space="0"/>
          <w:shd w:val="clear" w:fill="FFFFFF"/>
        </w:rPr>
        <w:t>福建省民政厅关于开展全省性社会组织2022年度年报年检工作的通知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bCs w:val="0"/>
          <w:color w:val="000000"/>
          <w:sz w:val="20"/>
          <w:szCs w:val="20"/>
        </w:rPr>
      </w:pPr>
      <w:r>
        <w:rPr>
          <w:b w:val="0"/>
          <w:bCs w:val="0"/>
          <w:i w:val="0"/>
          <w:iCs w:val="0"/>
          <w:caps w:val="0"/>
          <w:color w:val="000000"/>
          <w:spacing w:val="0"/>
          <w:sz w:val="20"/>
          <w:szCs w:val="20"/>
          <w:bdr w:val="none" w:color="auto" w:sz="0" w:space="0"/>
          <w:shd w:val="clear" w:fill="FFFFFF"/>
        </w:rPr>
        <w:t>闽民管函〔2023〕6号</w:t>
      </w:r>
    </w:p>
    <w:bookmarkEnd w:id="0"/>
    <w:p>
      <w:pPr>
        <w:pStyle w:val="4"/>
        <w:keepNext w:val="0"/>
        <w:keepLines w:val="0"/>
        <w:widowControl/>
        <w:suppressLineNumbers w:val="0"/>
        <w:pBdr>
          <w:top w:val="single" w:color="EEEEEE" w:sz="4" w:space="8"/>
          <w:left w:val="none" w:color="auto" w:sz="0" w:space="0"/>
          <w:bottom w:val="none" w:color="auto" w:sz="0" w:space="0"/>
          <w:right w:val="none" w:color="auto" w:sz="0" w:space="0"/>
        </w:pBdr>
        <w:spacing w:before="168" w:beforeAutospacing="0" w:after="0" w:afterAutospacing="0"/>
        <w:ind w:left="0" w:right="0"/>
        <w:jc w:val="center"/>
        <w:rPr>
          <w:b w:val="0"/>
          <w:bCs w:val="0"/>
          <w:color w:val="999999"/>
          <w:sz w:val="15"/>
          <w:szCs w:val="15"/>
        </w:rPr>
      </w:pPr>
      <w:r>
        <w:rPr>
          <w:b w:val="0"/>
          <w:bCs w:val="0"/>
          <w:i w:val="0"/>
          <w:iCs w:val="0"/>
          <w:caps w:val="0"/>
          <w:color w:val="999999"/>
          <w:spacing w:val="0"/>
          <w:sz w:val="15"/>
          <w:szCs w:val="15"/>
          <w:bdr w:val="none" w:color="auto" w:sz="0" w:space="0"/>
          <w:shd w:val="clear" w:fill="FFFFFF"/>
        </w:rPr>
        <w:t>来源：福建省民政厅     发布时间：2023-02-09 08:51     点击数：27471     字体：</w:t>
      </w:r>
      <w:r>
        <w:rPr>
          <w:b w:val="0"/>
          <w:bCs w:val="0"/>
          <w:i w:val="0"/>
          <w:iCs w:val="0"/>
          <w:caps w:val="0"/>
          <w:color w:val="999999"/>
          <w:spacing w:val="0"/>
          <w:sz w:val="15"/>
          <w:szCs w:val="15"/>
          <w:u w:val="none"/>
          <w:bdr w:val="none" w:color="auto" w:sz="0" w:space="0"/>
          <w:shd w:val="clear" w:fill="FFFFFF"/>
        </w:rPr>
        <w:fldChar w:fldCharType="begin"/>
      </w:r>
      <w:r>
        <w:rPr>
          <w:b w:val="0"/>
          <w:bCs w:val="0"/>
          <w:i w:val="0"/>
          <w:iCs w:val="0"/>
          <w:caps w:val="0"/>
          <w:color w:val="999999"/>
          <w:spacing w:val="0"/>
          <w:sz w:val="15"/>
          <w:szCs w:val="15"/>
          <w:u w:val="none"/>
          <w:bdr w:val="none" w:color="auto" w:sz="0" w:space="0"/>
          <w:shd w:val="clear" w:fill="FFFFFF"/>
        </w:rPr>
        <w:instrText xml:space="preserve"> HYPERLINK "javascript:;" </w:instrText>
      </w:r>
      <w:r>
        <w:rPr>
          <w:b w:val="0"/>
          <w:bCs w:val="0"/>
          <w:i w:val="0"/>
          <w:iCs w:val="0"/>
          <w:caps w:val="0"/>
          <w:color w:val="999999"/>
          <w:spacing w:val="0"/>
          <w:sz w:val="15"/>
          <w:szCs w:val="15"/>
          <w:u w:val="none"/>
          <w:bdr w:val="none" w:color="auto" w:sz="0" w:space="0"/>
          <w:shd w:val="clear" w:fill="FFFFFF"/>
        </w:rPr>
        <w:fldChar w:fldCharType="separate"/>
      </w:r>
      <w:r>
        <w:rPr>
          <w:rStyle w:val="9"/>
          <w:b w:val="0"/>
          <w:bCs w:val="0"/>
          <w:i w:val="0"/>
          <w:iCs w:val="0"/>
          <w:caps w:val="0"/>
          <w:color w:val="999999"/>
          <w:spacing w:val="0"/>
          <w:sz w:val="15"/>
          <w:szCs w:val="15"/>
          <w:u w:val="none"/>
          <w:bdr w:val="none" w:color="auto" w:sz="0" w:space="0"/>
          <w:shd w:val="clear" w:fill="FFFFFF"/>
        </w:rPr>
        <w:t>大</w:t>
      </w:r>
      <w:r>
        <w:rPr>
          <w:b w:val="0"/>
          <w:bCs w:val="0"/>
          <w:i w:val="0"/>
          <w:iCs w:val="0"/>
          <w:caps w:val="0"/>
          <w:color w:val="999999"/>
          <w:spacing w:val="0"/>
          <w:sz w:val="15"/>
          <w:szCs w:val="15"/>
          <w:u w:val="none"/>
          <w:bdr w:val="none" w:color="auto" w:sz="0" w:space="0"/>
          <w:shd w:val="clear" w:fill="FFFFFF"/>
        </w:rPr>
        <w:fldChar w:fldCharType="end"/>
      </w:r>
      <w:r>
        <w:rPr>
          <w:b w:val="0"/>
          <w:bCs w:val="0"/>
          <w:i w:val="0"/>
          <w:iCs w:val="0"/>
          <w:caps w:val="0"/>
          <w:color w:val="999999"/>
          <w:spacing w:val="0"/>
          <w:sz w:val="15"/>
          <w:szCs w:val="15"/>
          <w:bdr w:val="none" w:color="auto" w:sz="0" w:space="0"/>
          <w:shd w:val="clear" w:fill="FFFFFF"/>
        </w:rPr>
        <w:t> </w:t>
      </w:r>
      <w:r>
        <w:rPr>
          <w:b w:val="0"/>
          <w:bCs w:val="0"/>
          <w:i w:val="0"/>
          <w:iCs w:val="0"/>
          <w:caps w:val="0"/>
          <w:color w:val="999999"/>
          <w:spacing w:val="0"/>
          <w:sz w:val="15"/>
          <w:szCs w:val="15"/>
          <w:u w:val="none"/>
          <w:bdr w:val="none" w:color="auto" w:sz="0" w:space="0"/>
          <w:shd w:val="clear" w:fill="FFFFFF"/>
        </w:rPr>
        <w:fldChar w:fldCharType="begin"/>
      </w:r>
      <w:r>
        <w:rPr>
          <w:b w:val="0"/>
          <w:bCs w:val="0"/>
          <w:i w:val="0"/>
          <w:iCs w:val="0"/>
          <w:caps w:val="0"/>
          <w:color w:val="999999"/>
          <w:spacing w:val="0"/>
          <w:sz w:val="15"/>
          <w:szCs w:val="15"/>
          <w:u w:val="none"/>
          <w:bdr w:val="none" w:color="auto" w:sz="0" w:space="0"/>
          <w:shd w:val="clear" w:fill="FFFFFF"/>
        </w:rPr>
        <w:instrText xml:space="preserve"> HYPERLINK "javascript:;" </w:instrText>
      </w:r>
      <w:r>
        <w:rPr>
          <w:b w:val="0"/>
          <w:bCs w:val="0"/>
          <w:i w:val="0"/>
          <w:iCs w:val="0"/>
          <w:caps w:val="0"/>
          <w:color w:val="999999"/>
          <w:spacing w:val="0"/>
          <w:sz w:val="15"/>
          <w:szCs w:val="15"/>
          <w:u w:val="none"/>
          <w:bdr w:val="none" w:color="auto" w:sz="0" w:space="0"/>
          <w:shd w:val="clear" w:fill="FFFFFF"/>
        </w:rPr>
        <w:fldChar w:fldCharType="separate"/>
      </w:r>
      <w:r>
        <w:rPr>
          <w:rStyle w:val="9"/>
          <w:b w:val="0"/>
          <w:bCs w:val="0"/>
          <w:i w:val="0"/>
          <w:iCs w:val="0"/>
          <w:caps w:val="0"/>
          <w:color w:val="999999"/>
          <w:spacing w:val="0"/>
          <w:sz w:val="15"/>
          <w:szCs w:val="15"/>
          <w:u w:val="none"/>
          <w:bdr w:val="none" w:color="auto" w:sz="0" w:space="0"/>
          <w:shd w:val="clear" w:fill="FFFFFF"/>
        </w:rPr>
        <w:t>中</w:t>
      </w:r>
      <w:r>
        <w:rPr>
          <w:b w:val="0"/>
          <w:bCs w:val="0"/>
          <w:i w:val="0"/>
          <w:iCs w:val="0"/>
          <w:caps w:val="0"/>
          <w:color w:val="999999"/>
          <w:spacing w:val="0"/>
          <w:sz w:val="15"/>
          <w:szCs w:val="15"/>
          <w:u w:val="none"/>
          <w:bdr w:val="none" w:color="auto" w:sz="0" w:space="0"/>
          <w:shd w:val="clear" w:fill="FFFFFF"/>
        </w:rPr>
        <w:fldChar w:fldCharType="end"/>
      </w:r>
      <w:r>
        <w:rPr>
          <w:b w:val="0"/>
          <w:bCs w:val="0"/>
          <w:i w:val="0"/>
          <w:iCs w:val="0"/>
          <w:caps w:val="0"/>
          <w:color w:val="999999"/>
          <w:spacing w:val="0"/>
          <w:sz w:val="15"/>
          <w:szCs w:val="15"/>
          <w:bdr w:val="none" w:color="auto" w:sz="0" w:space="0"/>
          <w:shd w:val="clear" w:fill="FFFFFF"/>
        </w:rPr>
        <w:t> </w:t>
      </w:r>
      <w:r>
        <w:rPr>
          <w:b w:val="0"/>
          <w:bCs w:val="0"/>
          <w:i w:val="0"/>
          <w:iCs w:val="0"/>
          <w:caps w:val="0"/>
          <w:color w:val="9D612B"/>
          <w:spacing w:val="0"/>
          <w:sz w:val="15"/>
          <w:szCs w:val="15"/>
          <w:u w:val="none"/>
          <w:bdr w:val="none" w:color="auto" w:sz="0" w:space="0"/>
          <w:shd w:val="clear" w:fill="FFFFFF"/>
        </w:rPr>
        <w:fldChar w:fldCharType="begin"/>
      </w:r>
      <w:r>
        <w:rPr>
          <w:b w:val="0"/>
          <w:bCs w:val="0"/>
          <w:i w:val="0"/>
          <w:iCs w:val="0"/>
          <w:caps w:val="0"/>
          <w:color w:val="9D612B"/>
          <w:spacing w:val="0"/>
          <w:sz w:val="15"/>
          <w:szCs w:val="15"/>
          <w:u w:val="none"/>
          <w:bdr w:val="none" w:color="auto" w:sz="0" w:space="0"/>
          <w:shd w:val="clear" w:fill="FFFFFF"/>
        </w:rPr>
        <w:instrText xml:space="preserve"> HYPERLINK "javascript:;" </w:instrText>
      </w:r>
      <w:r>
        <w:rPr>
          <w:b w:val="0"/>
          <w:bCs w:val="0"/>
          <w:i w:val="0"/>
          <w:iCs w:val="0"/>
          <w:caps w:val="0"/>
          <w:color w:val="9D612B"/>
          <w:spacing w:val="0"/>
          <w:sz w:val="15"/>
          <w:szCs w:val="15"/>
          <w:u w:val="none"/>
          <w:bdr w:val="none" w:color="auto" w:sz="0" w:space="0"/>
          <w:shd w:val="clear" w:fill="FFFFFF"/>
        </w:rPr>
        <w:fldChar w:fldCharType="separate"/>
      </w:r>
      <w:r>
        <w:rPr>
          <w:rStyle w:val="9"/>
          <w:b w:val="0"/>
          <w:bCs w:val="0"/>
          <w:i w:val="0"/>
          <w:iCs w:val="0"/>
          <w:caps w:val="0"/>
          <w:color w:val="9D612B"/>
          <w:spacing w:val="0"/>
          <w:sz w:val="15"/>
          <w:szCs w:val="15"/>
          <w:u w:val="none"/>
          <w:bdr w:val="none" w:color="auto" w:sz="0" w:space="0"/>
          <w:shd w:val="clear" w:fill="FFFFFF"/>
        </w:rPr>
        <w:t>小</w:t>
      </w:r>
      <w:r>
        <w:rPr>
          <w:b w:val="0"/>
          <w:bCs w:val="0"/>
          <w:i w:val="0"/>
          <w:iCs w:val="0"/>
          <w:caps w:val="0"/>
          <w:color w:val="9D612B"/>
          <w:spacing w:val="0"/>
          <w:sz w:val="15"/>
          <w:szCs w:val="15"/>
          <w:u w:val="none"/>
          <w:bdr w:val="none" w:color="auto" w:sz="0" w:space="0"/>
          <w:shd w:val="clear" w:fill="FFFFFF"/>
        </w:rPr>
        <w:fldChar w:fldCharType="end"/>
      </w:r>
      <w:r>
        <w:rPr>
          <w:b w:val="0"/>
          <w:bCs w:val="0"/>
          <w:i w:val="0"/>
          <w:iCs w:val="0"/>
          <w:caps w:val="0"/>
          <w:color w:val="999999"/>
          <w:spacing w:val="0"/>
          <w:sz w:val="15"/>
          <w:szCs w:val="15"/>
          <w:bdr w:val="none" w:color="auto" w:sz="0" w:space="0"/>
          <w:shd w:val="clear" w:fill="FFFFFF"/>
        </w:rPr>
        <w:t> </w:t>
      </w:r>
      <w:r>
        <w:rPr>
          <w:b w:val="0"/>
          <w:bCs w:val="0"/>
          <w:i w:val="0"/>
          <w:iCs w:val="0"/>
          <w:caps w:val="0"/>
          <w:color w:val="9D612B"/>
          <w:spacing w:val="0"/>
          <w:sz w:val="15"/>
          <w:szCs w:val="15"/>
          <w:u w:val="none"/>
          <w:bdr w:val="none" w:color="auto" w:sz="0" w:space="0"/>
          <w:shd w:val="clear" w:fill="FFFFFF"/>
        </w:rPr>
        <w:fldChar w:fldCharType="begin"/>
      </w:r>
      <w:r>
        <w:rPr>
          <w:b w:val="0"/>
          <w:bCs w:val="0"/>
          <w:i w:val="0"/>
          <w:iCs w:val="0"/>
          <w:caps w:val="0"/>
          <w:color w:val="9D612B"/>
          <w:spacing w:val="0"/>
          <w:sz w:val="15"/>
          <w:szCs w:val="15"/>
          <w:u w:val="none"/>
          <w:bdr w:val="none" w:color="auto" w:sz="0" w:space="0"/>
          <w:shd w:val="clear" w:fill="FFFFFF"/>
        </w:rPr>
        <w:instrText xml:space="preserve"> HYPERLINK "javascript:;" </w:instrText>
      </w:r>
      <w:r>
        <w:rPr>
          <w:b w:val="0"/>
          <w:bCs w:val="0"/>
          <w:i w:val="0"/>
          <w:iCs w:val="0"/>
          <w:caps w:val="0"/>
          <w:color w:val="9D612B"/>
          <w:spacing w:val="0"/>
          <w:sz w:val="15"/>
          <w:szCs w:val="15"/>
          <w:u w:val="none"/>
          <w:bdr w:val="none" w:color="auto" w:sz="0" w:space="0"/>
          <w:shd w:val="clear" w:fill="FFFFFF"/>
        </w:rPr>
        <w:fldChar w:fldCharType="separate"/>
      </w:r>
      <w:r>
        <w:rPr>
          <w:rStyle w:val="9"/>
          <w:b w:val="0"/>
          <w:bCs w:val="0"/>
          <w:i w:val="0"/>
          <w:iCs w:val="0"/>
          <w:caps w:val="0"/>
          <w:color w:val="9D612B"/>
          <w:spacing w:val="0"/>
          <w:sz w:val="15"/>
          <w:szCs w:val="15"/>
          <w:u w:val="none"/>
          <w:bdr w:val="none" w:color="auto" w:sz="0" w:space="0"/>
          <w:shd w:val="clear" w:fill="FFFFFF"/>
        </w:rPr>
        <w:t>默认</w:t>
      </w:r>
      <w:r>
        <w:rPr>
          <w:b w:val="0"/>
          <w:bCs w:val="0"/>
          <w:i w:val="0"/>
          <w:iCs w:val="0"/>
          <w:caps w:val="0"/>
          <w:color w:val="9D612B"/>
          <w:spacing w:val="0"/>
          <w:sz w:val="15"/>
          <w:szCs w:val="15"/>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各全省性社会组织业务主管单位、各全省性社会组织：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根据《中华人民共和国慈善法》《社会团体登记管理条例》《民办非企业单位登记管理暂行条例》《基金会管理条例》及省委办公厅、省政府办公厅《关于改革社会组织管理制度促进社会组织健康有序发展的实施意见》等有关规定和文件精神，决定开展全省性社会组织2022年度年报年检工作。各全省性社会组织于2023年5月31日前登录福建省网上办事大厅将符合要求的年度工作报告有关材料报送我厅。请各业务主管单位对所属社会组织年度工作报告有关材料进行初审，并督促其按上述要求报送。对逾期未按要求报送年度工作报告有关材料的社会组织，我厅将依法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附件：全省性社会组织2022年度年报年检工作须知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jc w:val="right"/>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福建省民政厅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jc w:val="right"/>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2023年2月7日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(此件主动公开)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ascii="黑体" w:hAnsi="宋体" w:eastAsia="黑体" w:cs="黑体"/>
          <w:i w:val="0"/>
          <w:iCs w:val="0"/>
          <w:caps w:val="0"/>
          <w:color w:val="000000"/>
          <w:spacing w:val="0"/>
          <w:sz w:val="22"/>
          <w:szCs w:val="22"/>
          <w:bdr w:val="none" w:color="auto" w:sz="0" w:space="0"/>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jc w:val="center"/>
        <w:rPr>
          <w:rFonts w:hint="eastAsia" w:ascii="宋体" w:hAnsi="宋体" w:eastAsia="宋体" w:cs="宋体"/>
          <w:sz w:val="15"/>
          <w:szCs w:val="15"/>
        </w:rPr>
      </w:pPr>
      <w:r>
        <w:rPr>
          <w:rFonts w:hint="eastAsia" w:ascii="黑体" w:hAnsi="宋体" w:eastAsia="黑体" w:cs="黑体"/>
          <w:i w:val="0"/>
          <w:iCs w:val="0"/>
          <w:caps w:val="0"/>
          <w:color w:val="000000"/>
          <w:spacing w:val="0"/>
          <w:sz w:val="36"/>
          <w:szCs w:val="36"/>
          <w:bdr w:val="none" w:color="auto" w:sz="0" w:space="0"/>
          <w:shd w:val="clear" w:fill="FFFFFF"/>
        </w:rPr>
        <w:t>全省性社会组织2022年度年报年检工作须知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Fonts w:hint="eastAsia" w:ascii="黑体" w:hAnsi="宋体" w:eastAsia="黑体" w:cs="黑体"/>
          <w:i w:val="0"/>
          <w:iCs w:val="0"/>
          <w:caps w:val="0"/>
          <w:color w:val="000000"/>
          <w:spacing w:val="0"/>
          <w:sz w:val="22"/>
          <w:szCs w:val="22"/>
          <w:bdr w:val="none" w:color="auto" w:sz="0" w:space="0"/>
          <w:shd w:val="clear" w:fill="FFFFFF"/>
        </w:rPr>
        <w:t>一、对象和时限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1.参报对象：</w:t>
      </w:r>
      <w:r>
        <w:rPr>
          <w:rFonts w:hint="eastAsia" w:ascii="宋体" w:hAnsi="宋体" w:eastAsia="宋体" w:cs="宋体"/>
          <w:i w:val="0"/>
          <w:iCs w:val="0"/>
          <w:caps w:val="0"/>
          <w:color w:val="000000"/>
          <w:spacing w:val="0"/>
          <w:sz w:val="22"/>
          <w:szCs w:val="22"/>
          <w:bdr w:val="none" w:color="auto" w:sz="0" w:space="0"/>
          <w:shd w:val="clear" w:fill="FFFFFF"/>
        </w:rPr>
        <w:t>2022年12月31日前在我厅登记成立的社会组织。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2.按时参与年报时限：</w:t>
      </w:r>
      <w:r>
        <w:rPr>
          <w:rFonts w:hint="eastAsia" w:ascii="宋体" w:hAnsi="宋体" w:eastAsia="宋体" w:cs="宋体"/>
          <w:i w:val="0"/>
          <w:iCs w:val="0"/>
          <w:caps w:val="0"/>
          <w:color w:val="000000"/>
          <w:spacing w:val="0"/>
          <w:sz w:val="22"/>
          <w:szCs w:val="22"/>
          <w:bdr w:val="none" w:color="auto" w:sz="0" w:space="0"/>
          <w:shd w:val="clear" w:fill="FFFFFF"/>
        </w:rPr>
        <w:t>2023年2月28日-5月31日（未按照规定提交年报的社会组织，将依法列入活动异常名录。2022年12月31日前未认定为慈善组织的基金会，线上提交年度报告后还应接受年度检查）。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3.年报问题整改时限：</w:t>
      </w:r>
      <w:r>
        <w:rPr>
          <w:rFonts w:hint="eastAsia" w:ascii="宋体" w:hAnsi="宋体" w:eastAsia="宋体" w:cs="宋体"/>
          <w:i w:val="0"/>
          <w:iCs w:val="0"/>
          <w:caps w:val="0"/>
          <w:color w:val="000000"/>
          <w:spacing w:val="0"/>
          <w:sz w:val="22"/>
          <w:szCs w:val="22"/>
          <w:bdr w:val="none" w:color="auto" w:sz="0" w:space="0"/>
          <w:shd w:val="clear" w:fill="FFFFFF"/>
        </w:rPr>
        <w:t>2023年6月1日-9月28日。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Fonts w:hint="eastAsia" w:ascii="黑体" w:hAnsi="宋体" w:eastAsia="黑体" w:cs="黑体"/>
          <w:i w:val="0"/>
          <w:iCs w:val="0"/>
          <w:caps w:val="0"/>
          <w:color w:val="000000"/>
          <w:spacing w:val="0"/>
          <w:sz w:val="22"/>
          <w:szCs w:val="22"/>
          <w:bdr w:val="none" w:color="auto" w:sz="0" w:space="0"/>
          <w:shd w:val="clear" w:fill="FFFFFF"/>
        </w:rPr>
        <w:t>　二、填报流程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社会组织可通过</w:t>
      </w:r>
      <w:r>
        <w:rPr>
          <w:rStyle w:val="8"/>
          <w:rFonts w:hint="eastAsia" w:ascii="宋体" w:hAnsi="宋体" w:eastAsia="宋体" w:cs="宋体"/>
          <w:i w:val="0"/>
          <w:iCs w:val="0"/>
          <w:caps w:val="0"/>
          <w:color w:val="FF0000"/>
          <w:spacing w:val="0"/>
          <w:sz w:val="22"/>
          <w:szCs w:val="22"/>
          <w:bdr w:val="none" w:color="auto" w:sz="0" w:space="0"/>
          <w:shd w:val="clear" w:fill="FFFFFF"/>
        </w:rPr>
        <w:t>Google Chrome（谷歌）浏览器（63版本及以上）、360浏览器（9.1版本及以上，需选择极速模式）</w:t>
      </w:r>
      <w:r>
        <w:rPr>
          <w:rFonts w:hint="eastAsia" w:ascii="宋体" w:hAnsi="宋体" w:eastAsia="宋体" w:cs="宋体"/>
          <w:i w:val="0"/>
          <w:iCs w:val="0"/>
          <w:caps w:val="0"/>
          <w:color w:val="000000"/>
          <w:spacing w:val="0"/>
          <w:sz w:val="22"/>
          <w:szCs w:val="22"/>
          <w:bdr w:val="none" w:color="auto" w:sz="0" w:space="0"/>
          <w:shd w:val="clear" w:fill="FFFFFF"/>
        </w:rPr>
        <w:t>进入“福建省网上办事大厅”参与社会组织年报填报工作。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（一）填报入口。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1.第一步：</w:t>
      </w:r>
      <w:r>
        <w:rPr>
          <w:rFonts w:hint="eastAsia" w:ascii="宋体" w:hAnsi="宋体" w:eastAsia="宋体" w:cs="宋体"/>
          <w:i w:val="0"/>
          <w:iCs w:val="0"/>
          <w:caps w:val="0"/>
          <w:color w:val="000000"/>
          <w:spacing w:val="0"/>
          <w:sz w:val="22"/>
          <w:szCs w:val="22"/>
          <w:bdr w:val="none" w:color="auto" w:sz="0" w:space="0"/>
          <w:shd w:val="clear" w:fill="FFFFFF"/>
        </w:rPr>
        <w:t>注册法人账户并登录。进入“福建省网上办事大厅”注册法人账户</w:t>
      </w:r>
      <w:r>
        <w:rPr>
          <w:rFonts w:hint="eastAsia" w:ascii="宋体" w:hAnsi="宋体" w:eastAsia="宋体" w:cs="宋体"/>
          <w:i w:val="0"/>
          <w:iCs w:val="0"/>
          <w:caps w:val="0"/>
          <w:color w:val="3366FF"/>
          <w:spacing w:val="0"/>
          <w:sz w:val="22"/>
          <w:szCs w:val="22"/>
          <w:bdr w:val="none" w:color="auto" w:sz="0" w:space="0"/>
          <w:shd w:val="clear" w:fill="FFFFFF"/>
        </w:rPr>
        <w:t>（点击进入注册页面：</w:t>
      </w:r>
      <w:r>
        <w:rPr>
          <w:rFonts w:hint="eastAsia" w:ascii="宋体" w:hAnsi="宋体" w:eastAsia="宋体" w:cs="宋体"/>
          <w:i w:val="0"/>
          <w:iCs w:val="0"/>
          <w:caps w:val="0"/>
          <w:color w:val="333333"/>
          <w:spacing w:val="0"/>
          <w:sz w:val="22"/>
          <w:szCs w:val="22"/>
          <w:u w:val="none"/>
          <w:bdr w:val="none" w:color="auto" w:sz="0" w:space="0"/>
          <w:shd w:val="clear" w:fill="FFFFFF"/>
        </w:rPr>
        <w:fldChar w:fldCharType="begin"/>
      </w:r>
      <w:r>
        <w:rPr>
          <w:rFonts w:hint="eastAsia" w:ascii="宋体" w:hAnsi="宋体" w:eastAsia="宋体" w:cs="宋体"/>
          <w:i w:val="0"/>
          <w:iCs w:val="0"/>
          <w:caps w:val="0"/>
          <w:color w:val="333333"/>
          <w:spacing w:val="0"/>
          <w:sz w:val="22"/>
          <w:szCs w:val="22"/>
          <w:u w:val="none"/>
          <w:bdr w:val="none" w:color="auto" w:sz="0" w:space="0"/>
          <w:shd w:val="clear" w:fill="FFFFFF"/>
        </w:rPr>
        <w:instrText xml:space="preserve"> HYPERLINK "https://mztapp.fujian.gov.cn:8304/dataset/UnifiedController/goRegist.do?callerCode=Q9QP5Mznsc4rS9lk8t5sW4pj1byW8maZKBuAselxg" </w:instrText>
      </w:r>
      <w:r>
        <w:rPr>
          <w:rFonts w:hint="eastAsia" w:ascii="宋体" w:hAnsi="宋体" w:eastAsia="宋体" w:cs="宋体"/>
          <w:i w:val="0"/>
          <w:iCs w:val="0"/>
          <w:caps w:val="0"/>
          <w:color w:val="333333"/>
          <w:spacing w:val="0"/>
          <w:sz w:val="22"/>
          <w:szCs w:val="22"/>
          <w:u w:val="none"/>
          <w:bdr w:val="none" w:color="auto" w:sz="0" w:space="0"/>
          <w:shd w:val="clear" w:fill="FFFFFF"/>
        </w:rPr>
        <w:fldChar w:fldCharType="separate"/>
      </w:r>
      <w:r>
        <w:rPr>
          <w:rStyle w:val="9"/>
          <w:rFonts w:hint="eastAsia" w:ascii="宋体" w:hAnsi="宋体" w:eastAsia="宋体" w:cs="宋体"/>
          <w:i w:val="0"/>
          <w:iCs w:val="0"/>
          <w:caps w:val="0"/>
          <w:color w:val="3366FF"/>
          <w:spacing w:val="0"/>
          <w:sz w:val="21"/>
          <w:szCs w:val="21"/>
          <w:u w:val="none"/>
          <w:bdr w:val="none" w:color="auto" w:sz="0" w:space="0"/>
          <w:shd w:val="clear" w:fill="FFFFFF"/>
        </w:rPr>
        <w:t>https://mztapp.fujian.gov.cn:8304/dataset/UnifiedController/goRegist.do?callerCode=Q9QP5Mznsc4rS9lk8t5sW4pj1byW8maZKBuAselxg</w:t>
      </w:r>
      <w:r>
        <w:rPr>
          <w:rFonts w:hint="eastAsia" w:ascii="宋体" w:hAnsi="宋体" w:eastAsia="宋体" w:cs="宋体"/>
          <w:i w:val="0"/>
          <w:iCs w:val="0"/>
          <w:caps w:val="0"/>
          <w:color w:val="333333"/>
          <w:spacing w:val="0"/>
          <w:sz w:val="22"/>
          <w:szCs w:val="22"/>
          <w:u w:val="none"/>
          <w:bdr w:val="none" w:color="auto" w:sz="0" w:space="0"/>
          <w:shd w:val="clear" w:fill="FFFFFF"/>
        </w:rPr>
        <w:fldChar w:fldCharType="end"/>
      </w:r>
      <w:r>
        <w:rPr>
          <w:rFonts w:hint="eastAsia" w:ascii="宋体" w:hAnsi="宋体" w:eastAsia="宋体" w:cs="宋体"/>
          <w:i w:val="0"/>
          <w:iCs w:val="0"/>
          <w:caps w:val="0"/>
          <w:color w:val="3366FF"/>
          <w:spacing w:val="0"/>
          <w:sz w:val="22"/>
          <w:szCs w:val="22"/>
          <w:bdr w:val="none" w:color="auto" w:sz="0" w:space="0"/>
          <w:shd w:val="clear" w:fill="FFFFFF"/>
        </w:rPr>
        <w:t>）</w:t>
      </w:r>
      <w:r>
        <w:rPr>
          <w:rFonts w:hint="eastAsia" w:ascii="宋体" w:hAnsi="宋体" w:eastAsia="宋体" w:cs="宋体"/>
          <w:i w:val="0"/>
          <w:iCs w:val="0"/>
          <w:caps w:val="0"/>
          <w:color w:val="000000"/>
          <w:spacing w:val="0"/>
          <w:sz w:val="22"/>
          <w:szCs w:val="22"/>
          <w:bdr w:val="none" w:color="auto" w:sz="0" w:space="0"/>
          <w:shd w:val="clear" w:fill="FFFFFF"/>
        </w:rPr>
        <w:t>，已注册过法人账户的社会组织可跳过该步骤，直接使用现有账户登录。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2.第二步：</w:t>
      </w:r>
      <w:r>
        <w:rPr>
          <w:rFonts w:hint="eastAsia" w:ascii="宋体" w:hAnsi="宋体" w:eastAsia="宋体" w:cs="宋体"/>
          <w:i w:val="0"/>
          <w:iCs w:val="0"/>
          <w:caps w:val="0"/>
          <w:color w:val="000000"/>
          <w:spacing w:val="0"/>
          <w:sz w:val="22"/>
          <w:szCs w:val="22"/>
          <w:bdr w:val="none" w:color="auto" w:sz="0" w:space="0"/>
          <w:shd w:val="clear" w:fill="FFFFFF"/>
        </w:rPr>
        <w:t>进入填报页面。注册法人账户成功后按照以下流程操作：点击进入“福建网上办事大厅”首页→“我要办”→“部门服务”→“省民政厅”→“便民服务类”，选择“福建省社会组织年报”→“办事指南”（</w:t>
      </w:r>
      <w:r>
        <w:rPr>
          <w:rFonts w:hint="eastAsia" w:ascii="宋体" w:hAnsi="宋体" w:eastAsia="宋体" w:cs="宋体"/>
          <w:i w:val="0"/>
          <w:iCs w:val="0"/>
          <w:caps w:val="0"/>
          <w:color w:val="3366FF"/>
          <w:spacing w:val="0"/>
          <w:sz w:val="22"/>
          <w:szCs w:val="22"/>
          <w:bdr w:val="none" w:color="auto" w:sz="0" w:space="0"/>
          <w:shd w:val="clear" w:fill="FFFFFF"/>
        </w:rPr>
        <w:t>点击进入办事指南：</w:t>
      </w:r>
      <w:r>
        <w:rPr>
          <w:rFonts w:hint="eastAsia" w:ascii="宋体" w:hAnsi="宋体" w:eastAsia="宋体" w:cs="宋体"/>
          <w:i w:val="0"/>
          <w:iCs w:val="0"/>
          <w:caps w:val="0"/>
          <w:color w:val="333333"/>
          <w:spacing w:val="0"/>
          <w:sz w:val="22"/>
          <w:szCs w:val="22"/>
          <w:u w:val="none"/>
          <w:bdr w:val="none" w:color="auto" w:sz="0" w:space="0"/>
          <w:shd w:val="clear" w:fill="FFFFFF"/>
        </w:rPr>
        <w:fldChar w:fldCharType="begin"/>
      </w:r>
      <w:r>
        <w:rPr>
          <w:rFonts w:hint="eastAsia" w:ascii="宋体" w:hAnsi="宋体" w:eastAsia="宋体" w:cs="宋体"/>
          <w:i w:val="0"/>
          <w:iCs w:val="0"/>
          <w:caps w:val="0"/>
          <w:color w:val="333333"/>
          <w:spacing w:val="0"/>
          <w:sz w:val="22"/>
          <w:szCs w:val="22"/>
          <w:u w:val="none"/>
          <w:bdr w:val="none" w:color="auto" w:sz="0" w:space="0"/>
          <w:shd w:val="clear" w:fill="FFFFFF"/>
        </w:rPr>
        <w:instrText xml:space="preserve"> HYPERLINK "https://zwfw.fujian.gov.cn/bmGuide?unid=AF9CFA865D5E46F0A13A85FCE08C8506" </w:instrText>
      </w:r>
      <w:r>
        <w:rPr>
          <w:rFonts w:hint="eastAsia" w:ascii="宋体" w:hAnsi="宋体" w:eastAsia="宋体" w:cs="宋体"/>
          <w:i w:val="0"/>
          <w:iCs w:val="0"/>
          <w:caps w:val="0"/>
          <w:color w:val="333333"/>
          <w:spacing w:val="0"/>
          <w:sz w:val="22"/>
          <w:szCs w:val="22"/>
          <w:u w:val="none"/>
          <w:bdr w:val="none" w:color="auto" w:sz="0" w:space="0"/>
          <w:shd w:val="clear" w:fill="FFFFFF"/>
        </w:rPr>
        <w:fldChar w:fldCharType="separate"/>
      </w:r>
      <w:r>
        <w:rPr>
          <w:rStyle w:val="9"/>
          <w:rFonts w:hint="eastAsia" w:ascii="宋体" w:hAnsi="宋体" w:eastAsia="宋体" w:cs="宋体"/>
          <w:i w:val="0"/>
          <w:iCs w:val="0"/>
          <w:caps w:val="0"/>
          <w:color w:val="3366FF"/>
          <w:spacing w:val="0"/>
          <w:sz w:val="21"/>
          <w:szCs w:val="21"/>
          <w:u w:val="none"/>
          <w:bdr w:val="none" w:color="auto" w:sz="0" w:space="0"/>
          <w:shd w:val="clear" w:fill="FFFFFF"/>
        </w:rPr>
        <w:t>https://zwfw.fujian.gov.cn/bmGuide?unid=AF9CFA865D5E46F0A13A85FCE08C8506</w:t>
      </w:r>
      <w:r>
        <w:rPr>
          <w:rFonts w:hint="eastAsia" w:ascii="宋体" w:hAnsi="宋体" w:eastAsia="宋体" w:cs="宋体"/>
          <w:i w:val="0"/>
          <w:iCs w:val="0"/>
          <w:caps w:val="0"/>
          <w:color w:val="333333"/>
          <w:spacing w:val="0"/>
          <w:sz w:val="22"/>
          <w:szCs w:val="22"/>
          <w:u w:val="none"/>
          <w:bdr w:val="none" w:color="auto" w:sz="0" w:space="0"/>
          <w:shd w:val="clear" w:fill="FFFFFF"/>
        </w:rPr>
        <w:fldChar w:fldCharType="end"/>
      </w:r>
      <w:r>
        <w:rPr>
          <w:rFonts w:hint="eastAsia" w:ascii="宋体" w:hAnsi="宋体" w:eastAsia="宋体" w:cs="宋体"/>
          <w:i w:val="0"/>
          <w:iCs w:val="0"/>
          <w:caps w:val="0"/>
          <w:color w:val="000000"/>
          <w:spacing w:val="0"/>
          <w:sz w:val="22"/>
          <w:szCs w:val="22"/>
          <w:bdr w:val="none" w:color="auto" w:sz="0" w:space="0"/>
          <w:shd w:val="clear" w:fill="FFFFFF"/>
        </w:rPr>
        <w:t>）→“我要办理”进入当年年报填报页面。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二）在线填报。</w:t>
      </w:r>
      <w:r>
        <w:rPr>
          <w:rFonts w:hint="eastAsia" w:ascii="宋体" w:hAnsi="宋体" w:eastAsia="宋体" w:cs="宋体"/>
          <w:i w:val="0"/>
          <w:iCs w:val="0"/>
          <w:caps w:val="0"/>
          <w:color w:val="000000"/>
          <w:spacing w:val="0"/>
          <w:sz w:val="22"/>
          <w:szCs w:val="22"/>
          <w:bdr w:val="none" w:color="auto" w:sz="0" w:space="0"/>
          <w:shd w:val="clear" w:fill="FFFFFF"/>
        </w:rPr>
        <w:t>社会组织年报实行网上填报、公开和存档。未认定为慈善组织的基金会在线填报后，需打印纸质文本，由法定代表人、监事签名，加盖本组织印章（有业务主管单位的需送交业务主管单位初审）同财务审计报告一并报送至我厅慈善事业促进处（邮寄地址：福州市鼓东路44号省民政厅706室）。其他社会组织无需向我厅报送纸质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（三）上传附件。</w:t>
      </w:r>
      <w:r>
        <w:rPr>
          <w:rFonts w:hint="eastAsia" w:ascii="宋体" w:hAnsi="宋体" w:eastAsia="宋体" w:cs="宋体"/>
          <w:i w:val="0"/>
          <w:iCs w:val="0"/>
          <w:caps w:val="0"/>
          <w:color w:val="000000"/>
          <w:spacing w:val="0"/>
          <w:sz w:val="22"/>
          <w:szCs w:val="22"/>
          <w:bdr w:val="none" w:color="auto" w:sz="0" w:space="0"/>
          <w:shd w:val="clear" w:fill="FFFFFF"/>
        </w:rPr>
        <w:t>社会组织应按照要求在年报系统“电子附件”栏目上传以下附件：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1.审查盖章页面。</w:t>
      </w:r>
      <w:r>
        <w:rPr>
          <w:rFonts w:hint="eastAsia" w:ascii="宋体" w:hAnsi="宋体" w:eastAsia="宋体" w:cs="宋体"/>
          <w:i w:val="0"/>
          <w:iCs w:val="0"/>
          <w:caps w:val="0"/>
          <w:color w:val="000000"/>
          <w:spacing w:val="0"/>
          <w:sz w:val="22"/>
          <w:szCs w:val="22"/>
          <w:bdr w:val="none" w:color="auto" w:sz="0" w:space="0"/>
          <w:shd w:val="clear" w:fill="FFFFFF"/>
        </w:rPr>
        <w:t>年度报告书中的“审查盖章”页面可单页打印，无业务主管单位的社会组织经法定代表人亲笔签名并加盖社会组织公章后将原件扫描或拍照上传；有业务主管单位的社会组织，还应将年度报告纸质材料报送业务主管单位审查并盖章后，将审查盖章页面原件扫描或拍照上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2.审计报告和专项信息审核报告。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（1）非慈善类社会服务机构（民办非企业单位）须上传2022年度财务审计报告原件（2022年6月30日后登记成立的无须上传）；非慈善类社会团体不提交审计报告。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2）慈善组织（社会团体、社会服务机构、基金会）依法应当由注册会计师事务所出具年度审计报告和年度专项信息审核报告的，应当按照中国注册会计师协会印发的《基金会财务报表审计指引》规定的格式出具并上传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3.前置许可证。有前置许可的社会服务机构（民办非企业单位）,将前置许可证副本原件扫描或拍照上传。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　</w:t>
      </w:r>
      <w:r>
        <w:rPr>
          <w:rFonts w:hint="eastAsia" w:ascii="黑体" w:hAnsi="宋体" w:eastAsia="黑体" w:cs="黑体"/>
          <w:i w:val="0"/>
          <w:iCs w:val="0"/>
          <w:caps w:val="0"/>
          <w:color w:val="000000"/>
          <w:spacing w:val="0"/>
          <w:sz w:val="22"/>
          <w:szCs w:val="22"/>
          <w:bdr w:val="none" w:color="auto" w:sz="0" w:space="0"/>
          <w:shd w:val="clear" w:fill="FFFFFF"/>
        </w:rPr>
        <w:t>三、结论评定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Style w:val="8"/>
          <w:rFonts w:hint="eastAsia" w:ascii="宋体" w:hAnsi="宋体" w:eastAsia="宋体" w:cs="宋体"/>
          <w:i w:val="0"/>
          <w:iCs w:val="0"/>
          <w:caps w:val="0"/>
          <w:color w:val="000000"/>
          <w:spacing w:val="0"/>
          <w:sz w:val="22"/>
          <w:szCs w:val="22"/>
          <w:bdr w:val="none" w:color="auto" w:sz="0" w:space="0"/>
          <w:shd w:val="clear" w:fill="FFFFFF"/>
        </w:rPr>
        <w:t>　　（一）审查认定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我厅将对社会组织报送材料进行审查。附件上传及填报内容不规范、不完整、不清晰的，将予以退回，社会组织须重新上传提交（</w:t>
      </w:r>
      <w:r>
        <w:rPr>
          <w:rStyle w:val="8"/>
          <w:rFonts w:hint="eastAsia" w:ascii="宋体" w:hAnsi="宋体" w:eastAsia="宋体" w:cs="宋体"/>
          <w:i w:val="0"/>
          <w:iCs w:val="0"/>
          <w:caps w:val="0"/>
          <w:color w:val="FF0000"/>
          <w:spacing w:val="0"/>
          <w:sz w:val="22"/>
          <w:szCs w:val="22"/>
          <w:bdr w:val="none" w:color="auto" w:sz="0" w:space="0"/>
          <w:shd w:val="clear" w:fill="FFFFFF"/>
        </w:rPr>
        <w:t>退回次数超过5次的将被锁定提交资格，请认真填写提交</w:t>
      </w:r>
      <w:r>
        <w:rPr>
          <w:rFonts w:hint="eastAsia" w:ascii="宋体" w:hAnsi="宋体" w:eastAsia="宋体" w:cs="宋体"/>
          <w:i w:val="0"/>
          <w:iCs w:val="0"/>
          <w:caps w:val="0"/>
          <w:color w:val="000000"/>
          <w:spacing w:val="0"/>
          <w:sz w:val="22"/>
          <w:szCs w:val="22"/>
          <w:bdr w:val="none" w:color="auto" w:sz="0" w:space="0"/>
          <w:shd w:val="clear" w:fill="FFFFFF"/>
        </w:rPr>
        <w:t>）。对未认定为慈善组织的基金会，我厅将依法出具“合格”“基本合格”“不合格”年检结论；对其他社会组织年报我厅不出具结论，不再在登记证书副本上加盖年检结论章。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（二）结果公开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1.社会组织在线报送的年报，将在“福建社会组织网”→“信息公开”→“年度报告公示”栏目（点击进入：</w:t>
      </w:r>
      <w:r>
        <w:rPr>
          <w:rFonts w:hint="eastAsia" w:ascii="宋体" w:hAnsi="宋体" w:eastAsia="宋体" w:cs="宋体"/>
          <w:i w:val="0"/>
          <w:iCs w:val="0"/>
          <w:caps w:val="0"/>
          <w:color w:val="333333"/>
          <w:spacing w:val="0"/>
          <w:sz w:val="22"/>
          <w:szCs w:val="22"/>
          <w:u w:val="none"/>
          <w:bdr w:val="none" w:color="auto" w:sz="0" w:space="0"/>
          <w:shd w:val="clear" w:fill="FFFFFF"/>
        </w:rPr>
        <w:fldChar w:fldCharType="begin"/>
      </w:r>
      <w:r>
        <w:rPr>
          <w:rFonts w:hint="eastAsia" w:ascii="宋体" w:hAnsi="宋体" w:eastAsia="宋体" w:cs="宋体"/>
          <w:i w:val="0"/>
          <w:iCs w:val="0"/>
          <w:caps w:val="0"/>
          <w:color w:val="333333"/>
          <w:spacing w:val="0"/>
          <w:sz w:val="22"/>
          <w:szCs w:val="22"/>
          <w:u w:val="none"/>
          <w:bdr w:val="none" w:color="auto" w:sz="0" w:space="0"/>
          <w:shd w:val="clear" w:fill="FFFFFF"/>
        </w:rPr>
        <w:instrText xml:space="preserve"> HYPERLINK "http://112.54.44.39:8088/shzz_njgs/" </w:instrText>
      </w:r>
      <w:r>
        <w:rPr>
          <w:rFonts w:hint="eastAsia" w:ascii="宋体" w:hAnsi="宋体" w:eastAsia="宋体" w:cs="宋体"/>
          <w:i w:val="0"/>
          <w:iCs w:val="0"/>
          <w:caps w:val="0"/>
          <w:color w:val="333333"/>
          <w:spacing w:val="0"/>
          <w:sz w:val="22"/>
          <w:szCs w:val="22"/>
          <w:u w:val="none"/>
          <w:bdr w:val="none" w:color="auto" w:sz="0" w:space="0"/>
          <w:shd w:val="clear" w:fill="FFFFFF"/>
        </w:rPr>
        <w:fldChar w:fldCharType="separate"/>
      </w:r>
      <w:r>
        <w:rPr>
          <w:rStyle w:val="9"/>
          <w:rFonts w:hint="eastAsia" w:ascii="宋体" w:hAnsi="宋体" w:eastAsia="宋体" w:cs="宋体"/>
          <w:i w:val="0"/>
          <w:iCs w:val="0"/>
          <w:caps w:val="0"/>
          <w:color w:val="3366FF"/>
          <w:spacing w:val="0"/>
          <w:sz w:val="21"/>
          <w:szCs w:val="21"/>
          <w:u w:val="none"/>
          <w:bdr w:val="none" w:color="auto" w:sz="0" w:space="0"/>
          <w:shd w:val="clear" w:fill="FFFFFF"/>
        </w:rPr>
        <w:t>http://112.54.44.39:8088/shzz_njgs/</w:t>
      </w:r>
      <w:r>
        <w:rPr>
          <w:rFonts w:hint="eastAsia" w:ascii="宋体" w:hAnsi="宋体" w:eastAsia="宋体" w:cs="宋体"/>
          <w:i w:val="0"/>
          <w:iCs w:val="0"/>
          <w:caps w:val="0"/>
          <w:color w:val="333333"/>
          <w:spacing w:val="0"/>
          <w:sz w:val="22"/>
          <w:szCs w:val="22"/>
          <w:u w:val="none"/>
          <w:bdr w:val="none" w:color="auto" w:sz="0" w:space="0"/>
          <w:shd w:val="clear" w:fill="FFFFFF"/>
        </w:rPr>
        <w:fldChar w:fldCharType="end"/>
      </w:r>
      <w:r>
        <w:rPr>
          <w:rFonts w:hint="eastAsia" w:ascii="宋体" w:hAnsi="宋体" w:eastAsia="宋体" w:cs="宋体"/>
          <w:i w:val="0"/>
          <w:iCs w:val="0"/>
          <w:caps w:val="0"/>
          <w:color w:val="000000"/>
          <w:spacing w:val="0"/>
          <w:sz w:val="22"/>
          <w:szCs w:val="22"/>
          <w:bdr w:val="none" w:color="auto" w:sz="0" w:space="0"/>
          <w:shd w:val="clear" w:fill="FFFFFF"/>
        </w:rPr>
        <w:t>）公开，接受社会公众监督。同时，社会组织可通过本组织网站等便于公众查询的渠道向社会公开年报信息。慈善组织应按照相关规定及时在“慈善中国”公开年报信息。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2.未认定为慈善组织的基金会年检结果，将在“福建社会组织网”→“通知公告”栏（点击进入</w:t>
      </w:r>
      <w:r>
        <w:rPr>
          <w:rFonts w:hint="eastAsia" w:ascii="宋体" w:hAnsi="宋体" w:eastAsia="宋体" w:cs="宋体"/>
          <w:i w:val="0"/>
          <w:iCs w:val="0"/>
          <w:caps w:val="0"/>
          <w:color w:val="3366FF"/>
          <w:spacing w:val="0"/>
          <w:sz w:val="22"/>
          <w:szCs w:val="22"/>
          <w:bdr w:val="none" w:color="auto" w:sz="0" w:space="0"/>
          <w:shd w:val="clear" w:fill="FFFFFF"/>
        </w:rPr>
        <w:t>：</w:t>
      </w:r>
      <w:r>
        <w:rPr>
          <w:rFonts w:hint="eastAsia" w:ascii="宋体" w:hAnsi="宋体" w:eastAsia="宋体" w:cs="宋体"/>
          <w:i w:val="0"/>
          <w:iCs w:val="0"/>
          <w:caps w:val="0"/>
          <w:color w:val="333333"/>
          <w:spacing w:val="0"/>
          <w:sz w:val="22"/>
          <w:szCs w:val="22"/>
          <w:u w:val="none"/>
          <w:bdr w:val="none" w:color="auto" w:sz="0" w:space="0"/>
          <w:shd w:val="clear" w:fill="FFFFFF"/>
        </w:rPr>
        <w:fldChar w:fldCharType="begin"/>
      </w:r>
      <w:r>
        <w:rPr>
          <w:rFonts w:hint="eastAsia" w:ascii="宋体" w:hAnsi="宋体" w:eastAsia="宋体" w:cs="宋体"/>
          <w:i w:val="0"/>
          <w:iCs w:val="0"/>
          <w:caps w:val="0"/>
          <w:color w:val="333333"/>
          <w:spacing w:val="0"/>
          <w:sz w:val="22"/>
          <w:szCs w:val="22"/>
          <w:u w:val="none"/>
          <w:bdr w:val="none" w:color="auto" w:sz="0" w:space="0"/>
          <w:shd w:val="clear" w:fill="FFFFFF"/>
        </w:rPr>
        <w:instrText xml:space="preserve"> HYPERLINK "http://mzt.fujian.gov.cn/mgj/wjgg/" </w:instrText>
      </w:r>
      <w:r>
        <w:rPr>
          <w:rFonts w:hint="eastAsia" w:ascii="宋体" w:hAnsi="宋体" w:eastAsia="宋体" w:cs="宋体"/>
          <w:i w:val="0"/>
          <w:iCs w:val="0"/>
          <w:caps w:val="0"/>
          <w:color w:val="333333"/>
          <w:spacing w:val="0"/>
          <w:sz w:val="22"/>
          <w:szCs w:val="22"/>
          <w:u w:val="none"/>
          <w:bdr w:val="none" w:color="auto" w:sz="0" w:space="0"/>
          <w:shd w:val="clear" w:fill="FFFFFF"/>
        </w:rPr>
        <w:fldChar w:fldCharType="separate"/>
      </w:r>
      <w:r>
        <w:rPr>
          <w:rStyle w:val="9"/>
          <w:rFonts w:hint="eastAsia" w:ascii="宋体" w:hAnsi="宋体" w:eastAsia="宋体" w:cs="宋体"/>
          <w:i w:val="0"/>
          <w:iCs w:val="0"/>
          <w:caps w:val="0"/>
          <w:color w:val="3366FF"/>
          <w:spacing w:val="0"/>
          <w:sz w:val="21"/>
          <w:szCs w:val="21"/>
          <w:u w:val="none"/>
          <w:bdr w:val="none" w:color="auto" w:sz="0" w:space="0"/>
          <w:shd w:val="clear" w:fill="FFFFFF"/>
        </w:rPr>
        <w:t>http://mzt.fujian.gov.cn/mgj/wjgg/</w:t>
      </w:r>
      <w:r>
        <w:rPr>
          <w:rFonts w:hint="eastAsia" w:ascii="宋体" w:hAnsi="宋体" w:eastAsia="宋体" w:cs="宋体"/>
          <w:i w:val="0"/>
          <w:iCs w:val="0"/>
          <w:caps w:val="0"/>
          <w:color w:val="333333"/>
          <w:spacing w:val="0"/>
          <w:sz w:val="22"/>
          <w:szCs w:val="22"/>
          <w:u w:val="none"/>
          <w:bdr w:val="none" w:color="auto" w:sz="0" w:space="0"/>
          <w:shd w:val="clear" w:fill="FFFFFF"/>
        </w:rPr>
        <w:fldChar w:fldCharType="end"/>
      </w:r>
      <w:r>
        <w:rPr>
          <w:rFonts w:hint="eastAsia" w:ascii="宋体" w:hAnsi="宋体" w:eastAsia="宋体" w:cs="宋体"/>
          <w:i w:val="0"/>
          <w:iCs w:val="0"/>
          <w:caps w:val="0"/>
          <w:color w:val="3366FF"/>
          <w:spacing w:val="0"/>
          <w:sz w:val="22"/>
          <w:szCs w:val="22"/>
          <w:bdr w:val="none" w:color="auto" w:sz="0" w:space="0"/>
          <w:shd w:val="clear" w:fill="FFFFFF"/>
        </w:rPr>
        <w:t>）</w:t>
      </w:r>
      <w:r>
        <w:rPr>
          <w:rFonts w:hint="eastAsia" w:ascii="宋体" w:hAnsi="宋体" w:eastAsia="宋体" w:cs="宋体"/>
          <w:i w:val="0"/>
          <w:iCs w:val="0"/>
          <w:caps w:val="0"/>
          <w:color w:val="000000"/>
          <w:spacing w:val="0"/>
          <w:sz w:val="22"/>
          <w:szCs w:val="22"/>
          <w:bdr w:val="none" w:color="auto" w:sz="0" w:space="0"/>
          <w:shd w:val="clear" w:fill="FFFFFF"/>
        </w:rPr>
        <w:t>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3.登记管理机关根据需要可将社会组织年报年检信息向财政、公安、审计、税务等部门和行业管理部门推送。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4.社会组织年报涉及国家秘密、商业秘密、个人隐私的信息，法律、行政法规规定不得公开的信息，或者捐赠人、慈善信托委托人不同意公开的姓名、名称、住所、通讯方式等内容，不予公开。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（三）年报整改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社会组织年报结果公示的同时即默认进入年报问题整改阶段。社会组织需根据各自年报公示页面中提示的需整改问题进行整改并形成书面报告（加盖公章），于2023年6月1日—9月28日通过福建省网上办事大厅“福建社会组织年报”中“整改报告”板块线上填写问题整改情况并上传相关佐证材料，工作人员将对提交材料进行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Fonts w:hint="eastAsia" w:ascii="黑体" w:hAnsi="宋体" w:eastAsia="黑体" w:cs="黑体"/>
          <w:i w:val="0"/>
          <w:iCs w:val="0"/>
          <w:caps w:val="0"/>
          <w:color w:val="000000"/>
          <w:spacing w:val="0"/>
          <w:sz w:val="22"/>
          <w:szCs w:val="22"/>
          <w:bdr w:val="none" w:color="auto" w:sz="0" w:space="0"/>
          <w:shd w:val="clear" w:fill="FFFFFF"/>
        </w:rPr>
        <w:t>　四、有关要求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（一）各社会组织应当如实、准确填写年报中的每一项内容，不得漏填、漏报、瞒报。因填报错误造成的后果，由社会组织自行承担。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（二）任何单位和个人对社会组织的年报有异议的，可向登记管理机关进行书面举报。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（三）各相关部门对年报结果应加强应用，对未年报、年报存在问题的社会组织，在年检、政府购买服务、项目资助等方面予以限制；对年度工作突出、做出积极贡献的社会组织，给予优惠扶持。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Fonts w:hint="eastAsia" w:ascii="黑体" w:hAnsi="宋体" w:eastAsia="黑体" w:cs="黑体"/>
          <w:i w:val="0"/>
          <w:iCs w:val="0"/>
          <w:caps w:val="0"/>
          <w:color w:val="000000"/>
          <w:spacing w:val="0"/>
          <w:sz w:val="22"/>
          <w:szCs w:val="22"/>
          <w:bdr w:val="none" w:color="auto" w:sz="0" w:space="0"/>
          <w:shd w:val="clear" w:fill="FFFFFF"/>
        </w:rPr>
        <w:t>五、服务咨询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年报在线填写中遇到问题，可通过以下方式咨询：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（一）年报填报咨询服务电话：</w:t>
      </w:r>
      <w:r>
        <w:rPr>
          <w:rFonts w:hint="eastAsia" w:ascii="宋体" w:hAnsi="宋体" w:eastAsia="宋体" w:cs="宋体"/>
          <w:i w:val="0"/>
          <w:iCs w:val="0"/>
          <w:caps w:val="0"/>
          <w:color w:val="000000"/>
          <w:spacing w:val="0"/>
          <w:sz w:val="22"/>
          <w:szCs w:val="22"/>
          <w:bdr w:val="none" w:color="auto" w:sz="0" w:space="0"/>
          <w:shd w:val="clear" w:fill="FFFFFF"/>
        </w:rPr>
        <w:t>13306909185、15806087272。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（二）省民政厅社会组织综合党委咨询电话：</w:t>
      </w:r>
      <w:r>
        <w:rPr>
          <w:rFonts w:hint="eastAsia" w:ascii="宋体" w:hAnsi="宋体" w:eastAsia="宋体" w:cs="宋体"/>
          <w:i w:val="0"/>
          <w:iCs w:val="0"/>
          <w:caps w:val="0"/>
          <w:color w:val="000000"/>
          <w:spacing w:val="0"/>
          <w:sz w:val="22"/>
          <w:szCs w:val="22"/>
          <w:bdr w:val="none" w:color="auto" w:sz="0" w:space="0"/>
          <w:shd w:val="clear" w:fill="FFFFFF"/>
        </w:rPr>
        <w:t>0591-87676079、87523073。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（三）年报填报咨询微信群：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社会服务机构（民办非企业单位）咨询群：</w:t>
      </w:r>
      <w:r>
        <w:rPr>
          <w:rFonts w:hint="eastAsia" w:ascii="宋体" w:hAnsi="宋体" w:eastAsia="宋体" w:cs="宋体"/>
          <w:i w:val="0"/>
          <w:iCs w:val="0"/>
          <w:caps w:val="0"/>
          <w:color w:val="000000"/>
          <w:spacing w:val="0"/>
          <w:sz w:val="22"/>
          <w:szCs w:val="22"/>
          <w:bdr w:val="none" w:color="auto" w:sz="0" w:space="0"/>
          <w:shd w:val="clear" w:fill="FFFFFF"/>
        </w:rPr>
        <w:t>15059127909。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社会团体咨询群：</w:t>
      </w:r>
      <w:r>
        <w:rPr>
          <w:rFonts w:hint="eastAsia" w:ascii="宋体" w:hAnsi="宋体" w:eastAsia="宋体" w:cs="宋体"/>
          <w:i w:val="0"/>
          <w:iCs w:val="0"/>
          <w:caps w:val="0"/>
          <w:color w:val="000000"/>
          <w:spacing w:val="0"/>
          <w:sz w:val="22"/>
          <w:szCs w:val="22"/>
          <w:bdr w:val="none" w:color="auto" w:sz="0" w:space="0"/>
          <w:shd w:val="clear" w:fill="FFFFFF"/>
        </w:rPr>
        <w:t>13306909772、13706997298。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慈善组织咨询群：</w:t>
      </w:r>
      <w:r>
        <w:rPr>
          <w:rFonts w:hint="eastAsia" w:ascii="宋体" w:hAnsi="宋体" w:eastAsia="宋体" w:cs="宋体"/>
          <w:i w:val="0"/>
          <w:iCs w:val="0"/>
          <w:caps w:val="0"/>
          <w:color w:val="000000"/>
          <w:spacing w:val="0"/>
          <w:sz w:val="22"/>
          <w:szCs w:val="22"/>
          <w:bdr w:val="none" w:color="auto" w:sz="0" w:space="0"/>
          <w:shd w:val="clear" w:fill="FFFFFF"/>
        </w:rPr>
        <w:t>省级慈善组织交流群。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22" w:beforeAutospacing="0" w:after="0" w:afterAutospacing="0" w:line="384" w:lineRule="atLeast"/>
        <w:ind w:left="0" w:right="0"/>
        <w:rPr>
          <w:rFonts w:hint="eastAsia" w:ascii="宋体" w:hAnsi="宋体" w:eastAsia="宋体" w:cs="宋体"/>
          <w:sz w:val="15"/>
          <w:szCs w:val="15"/>
        </w:rPr>
      </w:pPr>
      <w:r>
        <w:rPr>
          <w:rFonts w:hint="eastAsia" w:ascii="宋体" w:hAnsi="宋体" w:eastAsia="宋体" w:cs="宋体"/>
          <w:i w:val="0"/>
          <w:iCs w:val="0"/>
          <w:caps w:val="0"/>
          <w:color w:val="000000"/>
          <w:spacing w:val="0"/>
          <w:sz w:val="22"/>
          <w:szCs w:val="22"/>
          <w:bdr w:val="none" w:color="auto" w:sz="0" w:space="0"/>
          <w:shd w:val="clear" w:fill="FFFFFF"/>
        </w:rPr>
        <w:t>　　</w:t>
      </w:r>
      <w:r>
        <w:rPr>
          <w:rStyle w:val="8"/>
          <w:rFonts w:hint="eastAsia" w:ascii="宋体" w:hAnsi="宋体" w:eastAsia="宋体" w:cs="宋体"/>
          <w:i w:val="0"/>
          <w:iCs w:val="0"/>
          <w:caps w:val="0"/>
          <w:color w:val="000000"/>
          <w:spacing w:val="0"/>
          <w:sz w:val="22"/>
          <w:szCs w:val="22"/>
          <w:bdr w:val="none" w:color="auto" w:sz="0" w:space="0"/>
          <w:shd w:val="clear" w:fill="FFFFFF"/>
        </w:rPr>
        <w:t>（四）现场咨询点：</w:t>
      </w:r>
      <w:r>
        <w:rPr>
          <w:rFonts w:hint="eastAsia" w:ascii="宋体" w:hAnsi="宋体" w:eastAsia="宋体" w:cs="宋体"/>
          <w:i w:val="0"/>
          <w:iCs w:val="0"/>
          <w:caps w:val="0"/>
          <w:color w:val="000000"/>
          <w:spacing w:val="0"/>
          <w:sz w:val="22"/>
          <w:szCs w:val="22"/>
          <w:bdr w:val="none" w:color="auto" w:sz="0" w:space="0"/>
          <w:shd w:val="clear" w:fill="FFFFFF"/>
        </w:rPr>
        <w:t>福州市鼓楼区鼓东路44号省民政厅一楼年报咨询室。</w:t>
      </w:r>
    </w:p>
    <w:p>
      <w:pPr>
        <w:rPr>
          <w:sz w:val="18"/>
          <w:szCs w:val="21"/>
        </w:rPr>
      </w:pPr>
    </w:p>
    <w:sectPr>
      <w:pgSz w:w="11906" w:h="16838"/>
      <w:pgMar w:top="1230" w:right="1230" w:bottom="1230" w:left="123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6365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2023-07-06T23:45:25Z</dcterms:created>
  <dc:creator>Administrator</dc:creator>
  <cp:lastModifiedBy>Administrator</cp:lastModifiedBy>
  <dcterms:modified xsi:type="dcterms:W3CDTF">2023-07-06T23:47:47Z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7A9AA09EB58043D49C6A6E4093BDC386_12</vt:lpwstr>
  </property>
</Properties>
</file>