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关于五年制高职专业人才培养方案存在的几个问题</w:t>
      </w:r>
      <w:bookmarkEnd w:id="0"/>
    </w:p>
    <w:p>
      <w:pPr>
        <w:pStyle w:val="2"/>
        <w:jc w:val="center"/>
        <w:rPr>
          <w:rFonts w:hint="eastAsia" w:ascii="楷体_GB2312" w:hAnsi="楷体_GB2312" w:eastAsia="楷体_GB2312" w:cs="楷体_GB2312"/>
          <w:b/>
          <w:bCs/>
          <w:lang w:val="en-US" w:eastAsia="zh-CN"/>
        </w:rPr>
      </w:pPr>
      <w:r>
        <w:rPr>
          <w:rFonts w:hint="eastAsia" w:ascii="楷体_GB2312" w:hAnsi="楷体_GB2312" w:eastAsia="楷体_GB2312" w:cs="楷体_GB2312"/>
          <w:b/>
          <w:bCs/>
          <w:sz w:val="36"/>
          <w:szCs w:val="36"/>
          <w:lang w:val="en-US" w:eastAsia="zh-CN"/>
        </w:rPr>
        <w:t>（2023年4月21日）</w:t>
      </w:r>
    </w:p>
    <w:p>
      <w:pPr>
        <w:jc w:val="both"/>
        <w:rPr>
          <w:rFonts w:hint="default" w:ascii="黑体" w:hAnsi="黑体" w:eastAsia="黑体" w:cs="黑体"/>
          <w:sz w:val="36"/>
          <w:szCs w:val="36"/>
          <w:lang w:val="en-US" w:eastAsia="zh-CN"/>
        </w:rPr>
      </w:pP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近期在审核新增五年制专业时发现专业人才培养方案还存在许多问题，现做一些说明，请各校参照进行修订，我处将适时进行抽查：</w:t>
      </w:r>
    </w:p>
    <w:p>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一、关于</w:t>
      </w:r>
      <w:r>
        <w:rPr>
          <w:rFonts w:hint="eastAsia" w:ascii="黑体" w:hAnsi="黑体" w:eastAsia="黑体" w:cs="黑体"/>
          <w:sz w:val="32"/>
          <w:szCs w:val="32"/>
        </w:rPr>
        <w:t>“三二分段制”专业</w:t>
      </w:r>
      <w:r>
        <w:rPr>
          <w:rFonts w:hint="eastAsia" w:ascii="黑体" w:hAnsi="黑体" w:eastAsia="黑体" w:cs="黑体"/>
          <w:sz w:val="32"/>
          <w:szCs w:val="32"/>
          <w:lang w:val="en-US" w:eastAsia="zh-CN"/>
        </w:rPr>
        <w:t>的转段考核方案</w:t>
      </w:r>
    </w:p>
    <w:p>
      <w:pPr>
        <w:tabs>
          <w:tab w:val="left" w:pos="651"/>
        </w:tabs>
        <w:bidi w:val="0"/>
        <w:ind w:firstLine="640" w:firstLineChars="20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转段考核方案应明确考核时间、考核内容以及考核不合格的处置方式。根据我省“三二分段”培养的类型的特殊性，考核不合格的学生</w:t>
      </w:r>
      <w:r>
        <w:rPr>
          <w:rFonts w:hint="eastAsia" w:ascii="仿宋_GB2312" w:hAnsi="仿宋_GB2312" w:eastAsia="仿宋_GB2312" w:cs="仿宋_GB2312"/>
          <w:color w:val="FF0000"/>
          <w:kern w:val="2"/>
          <w:sz w:val="32"/>
          <w:szCs w:val="32"/>
          <w:lang w:val="en-US" w:eastAsia="zh-CN" w:bidi="ar-SA"/>
        </w:rPr>
        <w:t>不能采取强制转为中职学生的方式处置方式</w:t>
      </w:r>
      <w:r>
        <w:rPr>
          <w:rFonts w:hint="eastAsia" w:ascii="仿宋_GB2312" w:hAnsi="仿宋_GB2312" w:eastAsia="仿宋_GB2312" w:cs="仿宋_GB2312"/>
          <w:kern w:val="2"/>
          <w:sz w:val="32"/>
          <w:szCs w:val="32"/>
          <w:lang w:val="en-US" w:eastAsia="zh-CN" w:bidi="ar-SA"/>
        </w:rPr>
        <w:t>，一般采取重修有关课程或者补考的形式进行处置，重修课程可以选择</w:t>
      </w:r>
      <w:r>
        <w:rPr>
          <w:rFonts w:hint="eastAsia" w:ascii="仿宋_GB2312" w:hAnsi="仿宋_GB2312" w:eastAsia="仿宋_GB2312" w:cs="仿宋_GB2312"/>
          <w:kern w:val="2"/>
          <w:sz w:val="32"/>
          <w:szCs w:val="32"/>
          <w:lang w:val="en-US" w:eastAsia="zh-CN" w:bidi="ar-SA"/>
        </w:rPr>
        <w:t>到高职或者继续在中职重修等方式进行。</w:t>
      </w:r>
      <w:r>
        <w:rPr>
          <w:rFonts w:hint="eastAsia" w:ascii="仿宋_GB2312" w:hAnsi="仿宋_GB2312" w:eastAsia="仿宋_GB2312" w:cs="仿宋_GB2312"/>
          <w:color w:val="FF0000"/>
          <w:kern w:val="2"/>
          <w:sz w:val="32"/>
          <w:szCs w:val="32"/>
          <w:lang w:val="en-US" w:eastAsia="zh-CN" w:bidi="ar-SA"/>
        </w:rPr>
        <w:t>（可以延迟转入但不得限制转入高职阶段！）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转段考核的原则：重点体现中职阶段教育文化基础知识、专业基础理论和基本技能，同时也要体现专科阶段教育对学生的学习能力、分析解决问题能力的要求，保证培养的连续性、衔接性和贯通性。</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考核形式</w:t>
      </w:r>
      <w:r>
        <w:rPr>
          <w:rFonts w:hint="eastAsia" w:ascii="仿宋_GB2312" w:hAnsi="仿宋_GB2312" w:eastAsia="仿宋_GB2312" w:cs="仿宋_GB2312"/>
          <w:sz w:val="32"/>
          <w:szCs w:val="32"/>
          <w:lang w:val="en-US" w:eastAsia="zh-CN"/>
        </w:rPr>
        <w:t>包括过程性考核和转段考试。由参与对联办的中高职学校共同制定的过程性考核方案，对学生在校期间的表现（含学业成绩、思想品德、实践能力等）进行过程考核。转段考试一般采取文化素质+专业技能方式进行。</w:t>
      </w:r>
    </w:p>
    <w:p>
      <w:pPr>
        <w:tabs>
          <w:tab w:val="left" w:pos="651"/>
        </w:tabs>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各高职院校应会同联办中职学校抓紧制定转段考核实施方案，并于学生入学第一学期结束前告知转段考核实施方案。</w:t>
      </w:r>
    </w:p>
    <w:p>
      <w:pPr>
        <w:tabs>
          <w:tab w:val="left" w:pos="651"/>
        </w:tabs>
        <w:bidi w:val="0"/>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二、其他存在的一些问题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1.人才培养未有效落实一体化设计。</w:t>
      </w:r>
      <w:r>
        <w:rPr>
          <w:rFonts w:hint="eastAsia" w:ascii="仿宋_GB2312" w:eastAsia="仿宋_GB2312" w:cs="Times New Roman"/>
          <w:sz w:val="32"/>
          <w:szCs w:val="32"/>
          <w:lang w:val="en-US" w:eastAsia="zh-CN"/>
        </w:rPr>
        <w:t>部分院校专业中职与高职阶段的课程体系衔接欠合理，课程名称雷同，教学内容没有渐进、梯度。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2.职业面向不明确。</w:t>
      </w:r>
      <w:r>
        <w:rPr>
          <w:rFonts w:hint="eastAsia" w:ascii="仿宋_GB2312" w:eastAsia="仿宋_GB2312" w:cs="Times New Roman"/>
          <w:sz w:val="32"/>
          <w:szCs w:val="32"/>
          <w:lang w:val="en-US" w:eastAsia="zh-CN"/>
        </w:rPr>
        <w:t>部分院校专业未使用表格的形式呈现本专业所属专业大类（专业类）及代码，本专业所对应的行业、主要职业类别、主要岗位类别（或技术领域）、职业技能等级证书、社会认可度高的行业企业标准和证书举例。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3.培养目标不清晰。</w:t>
      </w:r>
      <w:r>
        <w:rPr>
          <w:rFonts w:hint="eastAsia" w:ascii="仿宋_GB2312" w:eastAsia="仿宋_GB2312" w:cs="Times New Roman"/>
          <w:sz w:val="32"/>
          <w:szCs w:val="32"/>
          <w:lang w:val="en-US" w:eastAsia="zh-CN"/>
        </w:rPr>
        <w:t>部分院校专业未贯彻落实《职业教育专业目录简介》《高等职业学校专业教学标准》等标准体系，办学定位、培养目标等与高等职业教育不符。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4.公共基础必修课程未开足开齐。</w:t>
      </w:r>
      <w:r>
        <w:rPr>
          <w:rFonts w:hint="eastAsia" w:ascii="仿宋_GB2312" w:eastAsia="仿宋_GB2312" w:cs="Times New Roman"/>
          <w:sz w:val="32"/>
          <w:szCs w:val="32"/>
          <w:lang w:val="en-US" w:eastAsia="zh-CN"/>
        </w:rPr>
        <w:t>中职阶段应当将思想政治、语文、历史、数学、英语、信息技术、体育与健康、艺术等列为公共基础必修课程，并将习近平新时代中国特色社会主义读本、物理、化学、中华优秀传统文化、职业素养等课程列为必修课或限定选修课。高职阶段应当将思想政治理论课、体育、军事课、心理健康教育等课程列为公共基础必修课程，并将信息技术、语文、数学、外语等列为必修课或限定选修课。劳动教育列入必修课程。同时为帮助学生专升本，可以结合专升本的要求将一些考试课程特别是高等数学列入必修或选修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5.教学进程安排欠合理</w:t>
      </w:r>
      <w:r>
        <w:rPr>
          <w:rFonts w:hint="eastAsia" w:ascii="仿宋_GB2312" w:eastAsia="仿宋_GB2312" w:cs="Times New Roman"/>
          <w:sz w:val="32"/>
          <w:szCs w:val="32"/>
          <w:lang w:val="en-US" w:eastAsia="zh-CN"/>
        </w:rPr>
        <w:t>。5学年总学时数一般不少于4700学时。五年内顶岗实习时间通常为6个月，一般安排在高职阶段进行；公共必修课程不少于30%，实践教学不少于50%，选修课不少于10%。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eastAsia="仿宋_GB2312" w:cs="Times New Roman"/>
          <w:sz w:val="32"/>
          <w:szCs w:val="32"/>
          <w:lang w:val="en-US" w:eastAsia="zh-CN"/>
        </w:rPr>
      </w:pPr>
      <w:r>
        <w:rPr>
          <w:rFonts w:hint="default" w:ascii="仿宋_GB2312" w:eastAsia="仿宋_GB2312" w:cs="Times New Roman"/>
          <w:b/>
          <w:bCs/>
          <w:sz w:val="32"/>
          <w:szCs w:val="32"/>
          <w:lang w:val="en-US" w:eastAsia="zh-CN"/>
        </w:rPr>
        <w:t>6.实施保障不明确。</w:t>
      </w:r>
      <w:r>
        <w:rPr>
          <w:rFonts w:hint="default" w:ascii="仿宋_GB2312" w:eastAsia="仿宋_GB2312" w:cs="Times New Roman"/>
          <w:sz w:val="32"/>
          <w:szCs w:val="32"/>
          <w:lang w:val="en-US" w:eastAsia="zh-CN"/>
        </w:rPr>
        <w:t>部分院校专业师资队伍、教学设施、教学资源、教学方法、质量管理等方面的描述过于笼统</w:t>
      </w:r>
      <w:r>
        <w:rPr>
          <w:rFonts w:hint="eastAsia" w:ascii="仿宋_GB2312" w:eastAsia="仿宋_GB2312" w:cs="Times New Roman"/>
          <w:sz w:val="32"/>
          <w:szCs w:val="32"/>
          <w:lang w:val="en-US" w:eastAsia="zh-CN"/>
        </w:rPr>
        <w:t>。</w:t>
      </w:r>
    </w:p>
    <w:p>
      <w:pPr>
        <w:pStyle w:val="2"/>
        <w:rPr>
          <w:rFonts w:hint="eastAsia" w:ascii="仿宋_GB2312" w:eastAsia="仿宋_GB2312" w:cs="Times New Roman"/>
          <w:sz w:val="32"/>
          <w:szCs w:val="32"/>
          <w:lang w:val="en-US" w:eastAsia="zh-CN"/>
        </w:rPr>
      </w:pPr>
    </w:p>
    <w:p>
      <w:pPr>
        <w:pStyle w:val="2"/>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彩云">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25A52"/>
    <w:rsid w:val="43C25A52"/>
    <w:rsid w:val="664D5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2023-04-21T02:47:00Z</dcterms:created>
  <dc:creator>lenovo</dc:creator>
  <cp:lastModifiedBy>lenovo</cp:lastModifiedBy>
  <dcterms:modified xsi:type="dcterms:W3CDTF">2023-04-21T04:17:29Z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4509441FAAC841139D7F92FC801DBCBD</vt:lpwstr>
  </property>
</Properties>
</file>