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7"/>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第8</w:t>
      </w:r>
      <w:r>
        <w:rPr>
          <w:rFonts w:hint="eastAsia" w:ascii="宋体" w:hAnsi="宋体" w:eastAsia="宋体" w:cs="宋体"/>
          <w:sz w:val="30"/>
          <w:szCs w:val="30"/>
        </w:rPr>
        <w:t>期</w:t>
      </w:r>
      <w:bookmarkEnd w:id="1"/>
      <w:bookmarkEnd w:id="2"/>
    </w:p>
    <w:p>
      <w:pPr>
        <w:pStyle w:val="7"/>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（总第28期）</w:t>
      </w:r>
    </w:p>
    <w:p>
      <w:pPr>
        <w:pStyle w:val="7"/>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7"/>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二〇二三年二月二十日</w:t>
      </w:r>
    </w:p>
    <w:p>
      <w:pPr>
        <w:pStyle w:val="7"/>
        <w:bidi w:val="0"/>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一、2022年11月30日，为深入学习贯彻党的二十大精神，全面加强高校教师思想政治与师德师风建设，从11月30日起至12月31日，省教育厅组织全省高校开展以“学习二十大精神 培根铸魂育新人”为主题的思想政治和师德师风专题网络研修。这是我省面向高校教师集中开展的一次高起点、大规模的网络研修活动，在全省高校教师队伍中兴起了学习宣传党的二十大精神热潮。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bookmarkStart w:id="3" w:name="_GoBack"/>
      <w:bookmarkEnd w:id="3"/>
      <w:r>
        <w:rPr>
          <w:rFonts w:hint="eastAsia" w:ascii="仿宋" w:hAnsi="仿宋" w:eastAsia="仿宋" w:cs="仿宋"/>
          <w:color w:val="000000"/>
          <w:sz w:val="24"/>
          <w:szCs w:val="24"/>
          <w:lang w:bidi="ar"/>
        </w:rPr>
        <w:t>二、 2022年12月13日，福建省教育厅发布《关于成立职业学校办学条件达标工程工作专班的通知》（闽教职成〔2022〕36号）。为全面改善办学条件，推进职业院校办学条件达标，成立职业学校办学条件达标工作专班。工作专班下设办公室，挂靠省教育厅职成处。一、专班组成员员，组长：林和平（省教育厅党组书记、厅长），副组长：刘健（省教育厅党组成员、副厅长（正厅长级）等。专班成员如遇机构改革、人员变动，实行自然更替。主要职责有研究制订我省职业学校达标工程实施方案。统筹协调指导我省职业学校办学条件达标工程。调度推进各地各部门职业学校达标工作。推动各地各部门出台职业学校办学条件达标配套政策，有效配置土地、资金、编制等公共资源。推动各部门安排资金重点支持职业学校改善办学条件。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三、2022年12月19日，福建省教育厅、福建省人力资源和社会保障厅发布《关于做好2023届全省普通高校毕业生就业创业工作的通知》（闽教学〔2022〕47号），就做好 2023 届普通高校毕业生就业创业工作通知如下。1.积极拓展市场化岗位。2.着力推进就业招聘数字化。3.支持创新创业和灵活就业。4.优化政策性岗位招录安排。5.积极拓宽基层就业空间。6.配合做好大学生征兵工作。7.深入推进就业育人。8.全面加强就业指导。9.保障毕业生就业权益。10.完善就业帮扶机制。　11.落实取消就业报到证有关规定。12.实施毕业去向登记制度。13.强化就业统计监测工作。14.健全完善就业反馈机制。15.压紧压实工作责任。　16.建强就业工作队伍。17.加强就业宣传工作。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四、2022年12月21日，福建省教育厅印发《关于公布2022年省级职业教育重点建设项目的通知》（闽教职成〔2022〕38号），在各地各校申报的基础上，经专家评审和公示，确定10个项目为省级示范性职业教育集团（联盟）；36个项目为省级第四批高职院校产业学院试点项目；38个项目为省级高水平专业化产教融合实训基地。其中我校与北京容艺教育咨询有限公司合作办学的容艺影视产业基地，评为2022年省级第四批高职院校产业学院试点项目，我校的虚拟现实技术应用专业群产教融合实训基地，被评为2022年省级高水平专业化产教融合实训基地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五、2022年12月21日，中共中央办公厅、国务院办公厅印发了《关于深化现代职业教育体系建设改革的意见》，全文如下。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为深入贯彻落实党中央关于职业教育工作的决策部署和习近平总书记有关重要指示批示精神，持续推进现代职业教育体系建设改革，优化职业教育类型定位，现提出如下意见。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一、总体要求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2.改革方向。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二、战略任务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3.探索省域现代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4.打造市域产教联合体。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5.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三、重点工作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6.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7.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8.建设开放型区域产教融合实践中心。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9.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10.创新国际交流与合作机制。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四、组织实施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11.加强党的全面领导。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12.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13.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14.营造良好氛围。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六、2022年12月28日，教育部公开曝光第十一批7起违反教师职业行为十项准则典型案例，教育部有关负责人指出，牢牢把握师德师风作为评价教师队伍素质的第一标准，对师德违规问题“零容忍”。以下节选部分处罚案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中山大学教师杨某某性侵女学生未遂问题。2021年7月，杨某某酒后对女学生图谋不轨，因涉嫌强奸罪被刑事拘留，后判处有期徒刑一年六个月。杨某某的行为违反了《新时代高校教师职业行为十项准则》第六项规定。根据《事业单位工作人员处分暂行规定》《教育部关于高校教师师德失范行为处理的指导意见》等相关规定，给予杨某某开除处分，丧失其教师资格，列入教师资格限制库，终身不得重新申请认定教师资格。其所在部门党政负责人向学校作出书面检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辽宁大学教师何某性骚扰女学生问题。2022年7月，何某通过微信多次对学生进行性骚扰被实名举报，经查属实。何某的行为违反了《新时代高校教师职业行为十项准则》第六项规定。根据《事业单位工作人员处分暂行规定》《教育部关于高校教师师德失范行为处理的指导意见》等相关规定，给予何某免职处理，调离工作岗位，移交学校纪委立案处理，撤销其教师资格，列入教师资格限制库，撤销其在辽宁大学期间所获各类荣誉、称号。给予其所在学院党总支书记、院长、副书记诫勉谈话，责令院党总支向校党委作书面检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七、2023年1月11日，福建省人力资源和社会保障厅办公室发布了《关于开展2023年福建省高校毕业生公共就业服务专项活动的通知》（闽人社办〔2023〕5号），通知如下：一、总体要求：以习近平新时代中国特色社会主义思想为指导，全面贯彻落实党的二十大精神，坚持以人民为中心的发展思想，全面强化稳就业举措，汇集专业资源，凝聚各方合力，统筹推进线上线下招聘等毕业生就业服务活动，着力打造毕业生公共就业服务十大专项活动品牌，为毕业生求职和用人单位招聘搭建精准对接平台，全力确保我省就业局势总体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08" w:lineRule="auto"/>
        <w:ind w:firstLine="480" w:firstLineChars="200"/>
        <w:jc w:val="both"/>
        <w:textAlignment w:val="auto"/>
        <w:rPr>
          <w:rFonts w:hint="eastAsia" w:ascii="仿宋" w:hAnsi="仿宋" w:eastAsia="仿宋" w:cs="仿宋"/>
          <w:color w:val="000000"/>
          <w:sz w:val="24"/>
          <w:szCs w:val="24"/>
          <w:lang w:bidi="ar"/>
        </w:rPr>
      </w:pPr>
    </w:p>
    <w:p>
      <w:pPr>
        <w:keepNext w:val="0"/>
        <w:keepLines w:val="0"/>
        <w:pageBreakBefore w:val="0"/>
        <w:widowControl/>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OGI4NTkxNTkxZDU0OTRiNTBiMTkxN2UwNjY2NWEifQ=="/>
  </w:docVars>
  <w:rsids>
    <w:rsidRoot w:val="00172A27"/>
    <w:rsid w:val="09496506"/>
    <w:rsid w:val="10180690"/>
    <w:rsid w:val="1C220782"/>
    <w:rsid w:val="34536FF9"/>
    <w:rsid w:val="417967E7"/>
    <w:rsid w:val="48556179"/>
    <w:rsid w:val="4D735D99"/>
    <w:rsid w:val="53806594"/>
    <w:rsid w:val="5C424E35"/>
    <w:rsid w:val="618F3D8F"/>
    <w:rsid w:val="74EC717D"/>
    <w:rsid w:val="7CCC11D9"/>
    <w:rsid w:val="7F7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styleId="4">
    <w:name w:val="Normal (Web)"/>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customStyle="1" w:styleId="7">
    <w:name w:val="大标题one"/>
    <w:basedOn w:val="1"/>
    <w:qFormat/>
    <w:uiPriority w:val="0"/>
    <w:pPr>
      <w:spacing w:line="308" w:lineRule="auto"/>
      <w:jc w:val="center"/>
      <w:outlineLvl w:val="0"/>
    </w:pPr>
    <w:rPr>
      <w:rFonts w:ascii="黑体" w:hAnsi="黑体" w:eastAsia="黑体"/>
      <w:b/>
      <w:sz w:val="36"/>
    </w:rPr>
  </w:style>
  <w:style w:type="paragraph" w:customStyle="1" w:styleId="8">
    <w:name w:val="b-free-read-leaf"/>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3565</Words>
  <Characters>3716</Characters>
  <Lines>0</Lines>
  <Paragraphs>0</Paragraphs>
  <TotalTime>2</TotalTime>
  <ScaleCrop>false</ScaleCrop>
  <LinksUpToDate>false</LinksUpToDate>
  <CharactersWithSpaces>3739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2022-05-05T11:12:00Z</dcterms:created>
  <dc:creator>云淡风轻</dc:creator>
  <cp:lastModifiedBy>诺诺诺</cp:lastModifiedBy>
  <dcterms:modified xsi:type="dcterms:W3CDTF">2023-05-16T01:45:39Z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167D340DF8A04DEB90964DF3E8CE251F_13</vt:lpwstr>
  </property>
</Properties>
</file>