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leftChars="0" w:firstLine="0" w:firstLineChars="0"/>
        <w:jc w:val="center"/>
        <w:outlineLvl w:val="9"/>
        <w:rPr>
          <w:rFonts w:hint="eastAsia" w:ascii="黑体" w:hAnsi="黑体" w:eastAsia="黑体" w:cs="宋体"/>
          <w:b/>
          <w:kern w:val="0"/>
          <w:sz w:val="36"/>
          <w:szCs w:val="24"/>
          <w:lang w:val="en-US" w:eastAsia="zh-CN"/>
        </w:rPr>
      </w:pPr>
      <w:bookmarkStart w:id="0" w:name="_Toc27600"/>
      <w:r>
        <w:rPr>
          <w:rFonts w:hint="eastAsia" w:ascii="黑体" w:hAnsi="黑体" w:eastAsia="黑体" w:cs="宋体"/>
          <w:b/>
          <w:kern w:val="0"/>
          <w:sz w:val="36"/>
          <w:szCs w:val="24"/>
          <w:lang w:val="en-US" w:eastAsia="zh-CN"/>
        </w:rPr>
        <w:drawing>
          <wp:anchor distT="0" distB="0" distL="114300" distR="114300" simplePos="0" relativeHeight="251660288" behindDoc="0" locked="0" layoutInCell="1" allowOverlap="1">
            <wp:simplePos x="0" y="0"/>
            <wp:positionH relativeFrom="column">
              <wp:posOffset>-177800</wp:posOffset>
            </wp:positionH>
            <wp:positionV relativeFrom="paragraph">
              <wp:posOffset>-243840</wp:posOffset>
            </wp:positionV>
            <wp:extent cx="2132965" cy="688340"/>
            <wp:effectExtent l="0" t="0" r="635" b="12700"/>
            <wp:wrapNone/>
            <wp:docPr id="4" name="图片 4" descr="学院图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学院图标"/>
                    <pic:cNvPicPr>
                      <a:picLocks noChangeAspect="1"/>
                    </pic:cNvPicPr>
                  </pic:nvPicPr>
                  <pic:blipFill>
                    <a:blip r:embed="rId4"/>
                    <a:stretch>
                      <a:fillRect/>
                    </a:stretch>
                  </pic:blipFill>
                  <pic:spPr>
                    <a:xfrm>
                      <a:off x="0" y="0"/>
                      <a:ext cx="2132965" cy="688340"/>
                    </a:xfrm>
                    <a:prstGeom prst="rect">
                      <a:avLst/>
                    </a:prstGeom>
                  </pic:spPr>
                </pic:pic>
              </a:graphicData>
            </a:graphic>
          </wp:anchor>
        </w:drawing>
      </w:r>
    </w:p>
    <w:bookmarkEnd w:id="0"/>
    <w:p>
      <w:pPr>
        <w:pStyle w:val="2"/>
        <w:ind w:left="0" w:leftChars="0" w:firstLine="0" w:firstLineChars="0"/>
        <w:jc w:val="center"/>
        <w:outlineLvl w:val="9"/>
        <w:rPr>
          <w:rFonts w:hint="eastAsia"/>
        </w:rPr>
      </w:pPr>
      <w:r>
        <w:rPr>
          <w:rFonts w:hint="eastAsia" w:ascii="宋体" w:hAnsi="宋体" w:eastAsia="宋体" w:cs="宋体"/>
          <w:b/>
          <w:color w:val="FF0000"/>
          <w:kern w:val="0"/>
          <w:sz w:val="76"/>
          <w:szCs w:val="76"/>
          <w:highlight w:val="none"/>
          <w:lang w:val="en-US" w:eastAsia="zh-CN"/>
        </w:rPr>
        <w:t>新时代职业教育动态</w:t>
      </w:r>
      <w:bookmarkStart w:id="1" w:name="_Toc21405"/>
      <w:bookmarkStart w:id="2" w:name="_Toc25317"/>
    </w:p>
    <w:p>
      <w:pPr>
        <w:pStyle w:val="6"/>
        <w:bidi w:val="0"/>
        <w:rPr>
          <w:rFonts w:hint="eastAsia" w:ascii="宋体" w:hAnsi="宋体" w:eastAsia="宋体" w:cs="宋体"/>
          <w:sz w:val="30"/>
          <w:szCs w:val="30"/>
        </w:rPr>
      </w:pPr>
      <w:r>
        <w:rPr>
          <w:rFonts w:hint="eastAsia" w:ascii="宋体" w:hAnsi="宋体" w:eastAsia="宋体" w:cs="宋体"/>
          <w:sz w:val="30"/>
          <w:szCs w:val="30"/>
        </w:rPr>
        <w:t>202</w:t>
      </w:r>
      <w:r>
        <w:rPr>
          <w:rFonts w:hint="eastAsia" w:ascii="宋体" w:hAnsi="宋体" w:eastAsia="宋体" w:cs="宋体"/>
          <w:sz w:val="30"/>
          <w:szCs w:val="30"/>
          <w:lang w:val="en-US" w:eastAsia="zh-CN"/>
        </w:rPr>
        <w:t>2</w:t>
      </w:r>
      <w:r>
        <w:rPr>
          <w:rFonts w:hint="eastAsia" w:ascii="宋体" w:hAnsi="宋体" w:eastAsia="宋体" w:cs="宋体"/>
          <w:sz w:val="30"/>
          <w:szCs w:val="30"/>
        </w:rPr>
        <w:t>年</w:t>
      </w:r>
      <w:r>
        <w:rPr>
          <w:rFonts w:hint="eastAsia" w:ascii="宋体" w:hAnsi="宋体" w:eastAsia="宋体" w:cs="宋体"/>
          <w:sz w:val="30"/>
          <w:szCs w:val="30"/>
          <w:lang w:val="en-US" w:eastAsia="zh-CN"/>
        </w:rPr>
        <w:t>第7</w:t>
      </w:r>
      <w:r>
        <w:rPr>
          <w:rFonts w:hint="eastAsia" w:ascii="宋体" w:hAnsi="宋体" w:eastAsia="宋体" w:cs="宋体"/>
          <w:sz w:val="30"/>
          <w:szCs w:val="30"/>
        </w:rPr>
        <w:t>期</w:t>
      </w:r>
      <w:bookmarkEnd w:id="1"/>
      <w:bookmarkEnd w:id="2"/>
    </w:p>
    <w:p>
      <w:pPr>
        <w:pStyle w:val="6"/>
        <w:keepNext w:val="0"/>
        <w:keepLines w:val="0"/>
        <w:pageBreakBefore w:val="0"/>
        <w:widowControl/>
        <w:kinsoku/>
        <w:wordWrap/>
        <w:overflowPunct/>
        <w:topLinePunct w:val="0"/>
        <w:autoSpaceDE/>
        <w:autoSpaceDN/>
        <w:bidi w:val="0"/>
        <w:adjustRightInd/>
        <w:snapToGrid/>
        <w:spacing w:line="308" w:lineRule="auto"/>
        <w:jc w:val="center"/>
        <w:textAlignment w:val="auto"/>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（总第27期）</w:t>
      </w:r>
    </w:p>
    <w:p>
      <w:pPr>
        <w:pStyle w:val="6"/>
        <w:keepNext w:val="0"/>
        <w:keepLines w:val="0"/>
        <w:pageBreakBefore w:val="0"/>
        <w:widowControl/>
        <w:kinsoku/>
        <w:wordWrap/>
        <w:overflowPunct/>
        <w:topLinePunct w:val="0"/>
        <w:autoSpaceDE/>
        <w:autoSpaceDN/>
        <w:bidi w:val="0"/>
        <w:adjustRightInd/>
        <w:snapToGrid/>
        <w:spacing w:line="308" w:lineRule="auto"/>
        <w:jc w:val="center"/>
        <w:textAlignment w:val="auto"/>
        <w:rPr>
          <w:rFonts w:hint="default" w:ascii="宋体" w:hAnsi="宋体" w:eastAsia="宋体" w:cs="宋体"/>
          <w:sz w:val="30"/>
          <w:szCs w:val="30"/>
          <w:lang w:val="en-US" w:eastAsia="zh-CN"/>
        </w:rPr>
      </w:pPr>
    </w:p>
    <w:p>
      <w:pPr>
        <w:pStyle w:val="6"/>
        <w:bidi w:val="0"/>
        <w:jc w:val="left"/>
        <w:rPr>
          <w:rFonts w:hint="default" w:ascii="宋体" w:hAnsi="宋体" w:eastAsia="宋体" w:cs="宋体"/>
          <w:sz w:val="30"/>
          <w:szCs w:val="30"/>
          <w:lang w:val="en-US" w:eastAsia="zh-CN"/>
        </w:rPr>
      </w:pPr>
      <w:r>
        <w:rPr>
          <w:rFonts w:hint="eastAsia" w:ascii="宋体" w:hAnsi="宋体" w:eastAsia="宋体" w:cs="宋体"/>
          <w:sz w:val="30"/>
          <w:szCs w:val="30"/>
          <w:lang w:val="en-US" w:eastAsia="zh-CN"/>
        </w:rPr>
        <w:t>教学质量监控与评价中心           二〇二二年十二月六日</w:t>
      </w:r>
    </w:p>
    <w:p>
      <w:pPr>
        <w:pStyle w:val="6"/>
        <w:bidi w:val="0"/>
      </w:pPr>
      <w:r>
        <w:rPr>
          <w:rFonts w:ascii="Times New Roman" w:hAnsi="Times New Roman" w:eastAsia="宋体" w:cs="Times New Roman"/>
          <w:szCs w:val="24"/>
        </w:rPr>
        <mc:AlternateContent>
          <mc:Choice Requires="wps">
            <w:drawing>
              <wp:anchor distT="0" distB="0" distL="114300" distR="114300" simplePos="0" relativeHeight="251659264" behindDoc="0" locked="0" layoutInCell="1" allowOverlap="1">
                <wp:simplePos x="0" y="0"/>
                <wp:positionH relativeFrom="column">
                  <wp:posOffset>-119380</wp:posOffset>
                </wp:positionH>
                <wp:positionV relativeFrom="paragraph">
                  <wp:posOffset>106045</wp:posOffset>
                </wp:positionV>
                <wp:extent cx="5574665" cy="15240"/>
                <wp:effectExtent l="0" t="1270" r="3175" b="29210"/>
                <wp:wrapNone/>
                <wp:docPr id="1" name="直接连接符 1"/>
                <wp:cNvGraphicFramePr/>
                <a:graphic xmlns:a="http://schemas.openxmlformats.org/drawingml/2006/main">
                  <a:graphicData uri="http://schemas.microsoft.com/office/word/2010/wordprocessingShape">
                    <wps:wsp>
                      <wps:cNvCnPr/>
                      <wps:spPr>
                        <a:xfrm flipV="1">
                          <a:off x="0" y="0"/>
                          <a:ext cx="5574665" cy="15240"/>
                        </a:xfrm>
                        <a:prstGeom prst="line">
                          <a:avLst/>
                        </a:prstGeom>
                        <a:ln w="38100" cap="flat" cmpd="sng">
                          <a:solidFill>
                            <a:srgbClr val="FF0000"/>
                          </a:solidFill>
                          <a:prstDash val="solid"/>
                          <a:round/>
                          <a:headEnd type="none" w="med" len="med"/>
                          <a:tailEnd type="none" w="med" len="med"/>
                        </a:ln>
                        <a:effectLst/>
                      </wps:spPr>
                      <wps:bodyPr/>
                    </wps:wsp>
                  </a:graphicData>
                </a:graphic>
              </wp:anchor>
            </w:drawing>
          </mc:Choice>
          <mc:Fallback>
            <w:pict>
              <v:line id="_x0000_s1026" o:spid="_x0000_s1026" o:spt="20" style="position:absolute;left:0pt;flip:y;margin-left:-9.4pt;margin-top:8.35pt;height:1.2pt;width:438.95pt;z-index:251659264;mso-width-relative:page;mso-height-relative:page;" filled="f" stroked="t" coordsize="21600,21600" o:gfxdata="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kWT8aNkAAAAJAQAADwAAAAAAAAABACAAAAAiAAAA&#10;ZHJzL2Rvd25yZXYueG1sUEsBAhQAFAAAAAgAh07iQGfG8wMGAgAA/wMAAA4AAAAAAAAAAQAgAAAA&#10;KAEAAGRycy9lMm9Eb2MueG1sUEsFBgAAAAAGAAYAWQEAAKAFAAAAAA==&#10;">
                <v:fill on="f" focussize="0,0"/>
                <v:stroke weight="3pt" color="#FF0000" joinstyle="round"/>
                <v:imagedata o:title=""/>
                <o:lock v:ext="edit" aspectratio="f"/>
              </v:line>
            </w:pict>
          </mc:Fallback>
        </mc:AlternateContent>
      </w:r>
    </w:p>
    <w:p>
      <w:pPr>
        <w:keepNext w:val="0"/>
        <w:keepLines w:val="0"/>
        <w:pageBreakBefore w:val="0"/>
        <w:widowControl/>
        <w:kinsoku/>
        <w:wordWrap/>
        <w:overflowPunct/>
        <w:topLinePunct w:val="0"/>
        <w:autoSpaceDE/>
        <w:autoSpaceDN/>
        <w:bidi w:val="0"/>
        <w:adjustRightInd/>
        <w:snapToGrid/>
        <w:spacing w:line="308" w:lineRule="auto"/>
        <w:ind w:firstLine="480" w:firstLineChars="200"/>
        <w:jc w:val="both"/>
        <w:textAlignment w:val="auto"/>
        <w:rPr>
          <w:rFonts w:hint="eastAsia" w:ascii="仿宋" w:hAnsi="仿宋" w:eastAsia="仿宋" w:cs="仿宋"/>
        </w:rPr>
      </w:pPr>
      <w:r>
        <w:rPr>
          <w:rFonts w:hint="eastAsia" w:ascii="仿宋" w:hAnsi="仿宋" w:eastAsia="仿宋" w:cs="仿宋"/>
        </w:rPr>
        <w:t>1.2022年9月22日，教育部办公厅发布《关于进一步加强全国职业院校教师教学创新团队建设的通知》（教师厅函〔2022〕21号）为贯彻落实中共中央办公厅、国务院办公厅印发《关于推动现代职业教育高质量发展的意见》《国务 院关于印发国家职业教育改革实施方案的通知》要求，根据《教育部关于印发〈全国职业院校教师教学创 新团队建设方案〉的通知》（教师函〔2019〕4号）部署安排，现就进一步加强全国职业院校教师教学创新 团队（以下简称创新团队）建设有关事宜通知如下：一、明确创新团队建设目标任务。二、强化创新团队教师能力建设。三、形成创新团队建设范式。四、突出创新团队模块化教学模式。五、加强创新团队协作共同体建设。六、加大创新团队建设保障力度。七、加强创新团队建设的检查验收。</w:t>
      </w:r>
    </w:p>
    <w:p>
      <w:pPr>
        <w:keepNext w:val="0"/>
        <w:keepLines w:val="0"/>
        <w:pageBreakBefore w:val="0"/>
        <w:widowControl/>
        <w:kinsoku/>
        <w:wordWrap/>
        <w:overflowPunct/>
        <w:topLinePunct w:val="0"/>
        <w:autoSpaceDE/>
        <w:autoSpaceDN/>
        <w:bidi w:val="0"/>
        <w:adjustRightInd/>
        <w:snapToGrid/>
        <w:spacing w:line="308" w:lineRule="auto"/>
        <w:ind w:firstLine="480" w:firstLineChars="200"/>
        <w:jc w:val="both"/>
        <w:textAlignment w:val="auto"/>
        <w:rPr>
          <w:rFonts w:hint="eastAsia" w:ascii="仿宋" w:hAnsi="仿宋" w:eastAsia="仿宋" w:cs="仿宋"/>
        </w:rPr>
      </w:pPr>
      <w:r>
        <w:rPr>
          <w:rFonts w:hint="eastAsia" w:ascii="仿宋" w:hAnsi="仿宋" w:eastAsia="仿宋" w:cs="仿宋"/>
        </w:rPr>
        <w:t>2.2022年9</w:t>
      </w:r>
      <w:r>
        <w:rPr>
          <w:rFonts w:hint="eastAsia" w:ascii="仿宋" w:hAnsi="仿宋" w:eastAsia="仿宋" w:cs="仿宋"/>
          <w:lang w:val="en-US" w:eastAsia="zh-CN"/>
        </w:rPr>
        <w:t>月</w:t>
      </w:r>
      <w:r>
        <w:rPr>
          <w:rFonts w:hint="eastAsia" w:ascii="仿宋" w:hAnsi="仿宋" w:eastAsia="仿宋" w:cs="仿宋"/>
        </w:rPr>
        <w:t>22日，福建省终身教育促进委员会发布《关于开展福建省终身教育提质培优项目建设工作 （2022-2025年）的通知》（闽终教委〔2022〕5号），为深入贯彻党的十九大和十九届历次全会精神，落实《福建省“十四五”教育发展专项规划》《中共福建省委 福建省人民政府关于印发</w:t>
      </w:r>
      <w:r>
        <w:rPr>
          <w:rFonts w:hint="eastAsia" w:ascii="仿宋" w:hAnsi="仿宋" w:eastAsia="仿宋" w:cs="仿宋"/>
          <w:lang w:eastAsia="zh-CN"/>
        </w:rPr>
        <w:t>〈</w:t>
      </w:r>
      <w:r>
        <w:rPr>
          <w:rFonts w:hint="eastAsia" w:ascii="仿宋" w:hAnsi="仿宋" w:eastAsia="仿宋" w:cs="仿宋"/>
        </w:rPr>
        <w:t>福建省贯彻中共中央、国务院关于加强新时代老龄工作的意见实施方案</w:t>
      </w:r>
      <w:r>
        <w:rPr>
          <w:rFonts w:hint="eastAsia" w:ascii="仿宋" w:hAnsi="仿宋" w:eastAsia="仿宋" w:cs="仿宋"/>
          <w:lang w:eastAsia="zh-CN"/>
        </w:rPr>
        <w:t>〉</w:t>
      </w:r>
      <w:r>
        <w:rPr>
          <w:rFonts w:hint="eastAsia" w:ascii="仿宋" w:hAnsi="仿宋" w:eastAsia="仿宋" w:cs="仿宋"/>
        </w:rPr>
        <w:t>的通知》等文件要求，多渠道扩大社区教育、老年教育资源供给，完善我省终身教育服务体系，打造具有福建特色的终身教育发展模式，助力“构建服务全民终身学习的教育体系”。经研究，决定开展福建省终身教育提质培优项目建设工作。现就有关事项通知如下：一、提质培优项目 （一）省级终身教育创新基地和实验项目。（二）城乡社区（老年）教育机构建设项目。（三）省级优质社区（老年）教育课程资源项目。（四）高校老年大学建设项目。（五）学习型社区（村）创建项目。（六）省级终身教育课题项目。（七）省级终身教育师资库建设项目。</w:t>
      </w:r>
    </w:p>
    <w:p>
      <w:pPr>
        <w:keepNext w:val="0"/>
        <w:keepLines w:val="0"/>
        <w:pageBreakBefore w:val="0"/>
        <w:widowControl/>
        <w:kinsoku/>
        <w:wordWrap/>
        <w:overflowPunct/>
        <w:topLinePunct w:val="0"/>
        <w:autoSpaceDE/>
        <w:autoSpaceDN/>
        <w:bidi w:val="0"/>
        <w:adjustRightInd/>
        <w:snapToGrid/>
        <w:spacing w:line="308" w:lineRule="auto"/>
        <w:ind w:firstLine="480" w:firstLineChars="200"/>
        <w:jc w:val="both"/>
        <w:textAlignment w:val="auto"/>
        <w:rPr>
          <w:rFonts w:hint="eastAsia" w:ascii="仿宋" w:hAnsi="仿宋" w:eastAsia="仿宋" w:cs="仿宋"/>
        </w:rPr>
      </w:pPr>
      <w:r>
        <w:rPr>
          <w:rFonts w:hint="eastAsia" w:ascii="仿宋" w:hAnsi="仿宋" w:eastAsia="仿宋" w:cs="仿宋"/>
        </w:rPr>
        <w:t>3.福建省人力资源和社会保障厅办公室、福建省教育厅办公室联合发布《关于做好 2022-2023 年大中专毕业生公益性招聘会资助有关工作的通知》（闽人社办〔2022〕158 号）为进一步加强高校毕业生就业市场培育，实现就业供需资源省级集中，提高对接效率，全力促进我省高校毕业生更加充分更高质量就业，现就 2022—2023 年大中专毕业生公益性招聘会资助 有关事项通知如下：</w:t>
      </w:r>
    </w:p>
    <w:p>
      <w:pPr>
        <w:keepNext w:val="0"/>
        <w:keepLines w:val="0"/>
        <w:pageBreakBefore w:val="0"/>
        <w:widowControl/>
        <w:kinsoku/>
        <w:wordWrap/>
        <w:overflowPunct/>
        <w:topLinePunct w:val="0"/>
        <w:autoSpaceDE/>
        <w:autoSpaceDN/>
        <w:bidi w:val="0"/>
        <w:adjustRightInd/>
        <w:snapToGrid/>
        <w:spacing w:line="308" w:lineRule="auto"/>
        <w:ind w:firstLine="480" w:firstLineChars="200"/>
        <w:jc w:val="both"/>
        <w:textAlignment w:val="auto"/>
        <w:rPr>
          <w:rFonts w:hint="eastAsia" w:ascii="仿宋" w:hAnsi="仿宋" w:eastAsia="仿宋" w:cs="仿宋"/>
        </w:rPr>
      </w:pPr>
      <w:r>
        <w:rPr>
          <w:rFonts w:hint="eastAsia" w:ascii="仿宋" w:hAnsi="仿宋" w:eastAsia="仿宋" w:cs="仿宋"/>
        </w:rPr>
        <w:t>（一）公益性现场招聘会。2022年10月至 2023年9月期间</w:t>
      </w:r>
      <w:r>
        <w:rPr>
          <w:rFonts w:hint="eastAsia" w:ascii="仿宋" w:hAnsi="仿宋" w:eastAsia="仿宋" w:cs="仿宋"/>
          <w:lang w:eastAsia="zh-CN"/>
        </w:rPr>
        <w:t>，</w:t>
      </w:r>
      <w:r>
        <w:rPr>
          <w:rFonts w:hint="eastAsia" w:ascii="仿宋" w:hAnsi="仿宋" w:eastAsia="仿宋" w:cs="仿宋"/>
        </w:rPr>
        <w:t>我省各地、各高校和省属人力资源服务机构组织举办主要面向2023届大中专毕业生和往届离校未就业高校毕业生，并对毕业生 和用人单位实行免费入场的公益性现场招聘会。</w:t>
      </w:r>
    </w:p>
    <w:p>
      <w:pPr>
        <w:keepNext w:val="0"/>
        <w:keepLines w:val="0"/>
        <w:pageBreakBefore w:val="0"/>
        <w:widowControl/>
        <w:kinsoku/>
        <w:wordWrap/>
        <w:overflowPunct/>
        <w:topLinePunct w:val="0"/>
        <w:autoSpaceDE/>
        <w:autoSpaceDN/>
        <w:bidi w:val="0"/>
        <w:adjustRightInd/>
        <w:snapToGrid/>
        <w:spacing w:line="308" w:lineRule="auto"/>
        <w:ind w:firstLine="480" w:firstLineChars="200"/>
        <w:jc w:val="both"/>
        <w:textAlignment w:val="auto"/>
        <w:rPr>
          <w:rFonts w:hint="eastAsia" w:ascii="仿宋" w:hAnsi="仿宋" w:eastAsia="仿宋" w:cs="仿宋"/>
        </w:rPr>
      </w:pPr>
      <w:r>
        <w:rPr>
          <w:rFonts w:hint="eastAsia" w:ascii="仿宋" w:hAnsi="仿宋" w:eastAsia="仿宋" w:cs="仿宋"/>
        </w:rPr>
        <w:t>（二）公益性网络招聘会。2022年10 月至 2023年9月期间， 我省各地、各高校和省属人力资源服务机构依托福建省毕业生就业创业公共服务网（以下简称公共服务网</w:t>
      </w:r>
      <w:r>
        <w:rPr>
          <w:rFonts w:hint="eastAsia" w:ascii="仿宋" w:hAnsi="仿宋" w:eastAsia="仿宋" w:cs="仿宋"/>
          <w:lang w:eastAsia="zh-CN"/>
        </w:rPr>
        <w:t>）</w:t>
      </w:r>
      <w:r>
        <w:rPr>
          <w:rFonts w:hint="eastAsia" w:ascii="仿宋" w:hAnsi="仿宋" w:eastAsia="仿宋" w:cs="仿宋"/>
        </w:rPr>
        <w:t>“云招聘”组织举办面向2023届大中专毕业生和往届离校未就业高校毕业生的公益性网络招聘会。</w:t>
      </w:r>
    </w:p>
    <w:p>
      <w:pPr>
        <w:keepNext w:val="0"/>
        <w:keepLines w:val="0"/>
        <w:pageBreakBefore w:val="0"/>
        <w:widowControl/>
        <w:kinsoku/>
        <w:wordWrap/>
        <w:overflowPunct/>
        <w:topLinePunct w:val="0"/>
        <w:autoSpaceDE/>
        <w:autoSpaceDN/>
        <w:bidi w:val="0"/>
        <w:adjustRightInd/>
        <w:snapToGrid/>
        <w:spacing w:line="308" w:lineRule="auto"/>
        <w:ind w:firstLine="480" w:firstLineChars="200"/>
        <w:jc w:val="both"/>
        <w:textAlignment w:val="auto"/>
        <w:rPr>
          <w:rFonts w:hint="eastAsia" w:ascii="仿宋" w:hAnsi="仿宋" w:eastAsia="仿宋" w:cs="仿宋"/>
        </w:rPr>
      </w:pPr>
      <w:r>
        <w:rPr>
          <w:rFonts w:hint="eastAsia" w:ascii="仿宋" w:hAnsi="仿宋" w:eastAsia="仿宋" w:cs="仿宋"/>
        </w:rPr>
        <w:t>4. 2022年10月9日，教</w:t>
      </w:r>
      <w:bookmarkStart w:id="3" w:name="_GoBack"/>
      <w:bookmarkEnd w:id="3"/>
      <w:r>
        <w:rPr>
          <w:rFonts w:hint="eastAsia" w:ascii="仿宋" w:hAnsi="仿宋" w:eastAsia="仿宋" w:cs="仿宋"/>
        </w:rPr>
        <w:t>育部办公厅等五部门发布《关于实施职业教育现场工程师专项培养计划的通知》（教职成厅〔2022〕2号）为贯彻中央人才工作会议和全国职业教育大会精神，落实新修订的《中华人民共和国职业教育法》，进一步优化人才供给结构，加快培养更多适应新技术、新业态、新模式的高素质技术技能人才、能工巧匠、大国工匠，教育部、工业和信息化部、国务院国资委、中国工程院、全国工商联决定联合实施职业教育现场工程师专项培养计划（以下简称专项培养计划）。现将有关事项通知如下。</w:t>
      </w:r>
    </w:p>
    <w:p>
      <w:pPr>
        <w:keepNext w:val="0"/>
        <w:keepLines w:val="0"/>
        <w:pageBreakBefore w:val="0"/>
        <w:widowControl/>
        <w:kinsoku/>
        <w:wordWrap/>
        <w:overflowPunct/>
        <w:topLinePunct w:val="0"/>
        <w:autoSpaceDE/>
        <w:autoSpaceDN/>
        <w:bidi w:val="0"/>
        <w:adjustRightInd/>
        <w:snapToGrid/>
        <w:spacing w:line="308" w:lineRule="auto"/>
        <w:ind w:firstLine="480" w:firstLineChars="200"/>
        <w:jc w:val="both"/>
        <w:textAlignment w:val="auto"/>
        <w:rPr>
          <w:rFonts w:hint="eastAsia" w:ascii="仿宋" w:hAnsi="仿宋" w:eastAsia="仿宋" w:cs="仿宋"/>
        </w:rPr>
      </w:pPr>
      <w:r>
        <w:rPr>
          <w:rFonts w:hint="eastAsia" w:ascii="仿宋" w:hAnsi="仿宋" w:eastAsia="仿宋" w:cs="仿宋"/>
        </w:rPr>
        <w:t>一、总体思路</w:t>
      </w:r>
    </w:p>
    <w:p>
      <w:pPr>
        <w:keepNext w:val="0"/>
        <w:keepLines w:val="0"/>
        <w:pageBreakBefore w:val="0"/>
        <w:widowControl/>
        <w:kinsoku/>
        <w:wordWrap/>
        <w:overflowPunct/>
        <w:topLinePunct w:val="0"/>
        <w:autoSpaceDE/>
        <w:autoSpaceDN/>
        <w:bidi w:val="0"/>
        <w:adjustRightInd/>
        <w:snapToGrid/>
        <w:spacing w:line="308" w:lineRule="auto"/>
        <w:ind w:firstLine="480" w:firstLineChars="200"/>
        <w:jc w:val="both"/>
        <w:textAlignment w:val="auto"/>
        <w:rPr>
          <w:rFonts w:hint="eastAsia" w:ascii="仿宋" w:hAnsi="仿宋" w:eastAsia="仿宋" w:cs="仿宋"/>
        </w:rPr>
      </w:pPr>
      <w:r>
        <w:rPr>
          <w:rFonts w:hint="eastAsia" w:ascii="仿宋" w:hAnsi="仿宋" w:eastAsia="仿宋" w:cs="仿宋"/>
        </w:rPr>
        <w:t>以习近平新时代中国特色社会主义思想为指导，全面贯彻党的教育方针，落实立德树人根本任务，紧密对接先进制造业、战略性新兴产业和现代服务业等重点领域高端化、数字化、智能化、绿色化发展要求，协调匹配教育供给与人才需求，深化产教融合、校企合作，全面实践中国特色学徒制，校企联合实施学徒培养和在职员工培训，健全教育链、产业链、人才链、创新链协同发展新机制，</w:t>
      </w:r>
      <w:r>
        <w:rPr>
          <w:rFonts w:hint="eastAsia" w:ascii="仿宋" w:hAnsi="仿宋" w:eastAsia="仿宋" w:cs="仿宋"/>
          <w:lang w:eastAsia="zh-CN"/>
        </w:rPr>
        <w:t>形成</w:t>
      </w:r>
      <w:r>
        <w:rPr>
          <w:rFonts w:hint="eastAsia" w:ascii="仿宋" w:hAnsi="仿宋" w:eastAsia="仿宋" w:cs="仿宋"/>
        </w:rPr>
        <w:t>技术技能人才紧缺领域系统储能、赋能的人才培养培训生态。</w:t>
      </w:r>
    </w:p>
    <w:p>
      <w:pPr>
        <w:keepNext w:val="0"/>
        <w:keepLines w:val="0"/>
        <w:pageBreakBefore w:val="0"/>
        <w:widowControl/>
        <w:kinsoku/>
        <w:wordWrap/>
        <w:overflowPunct/>
        <w:topLinePunct w:val="0"/>
        <w:autoSpaceDE/>
        <w:autoSpaceDN/>
        <w:bidi w:val="0"/>
        <w:adjustRightInd/>
        <w:snapToGrid/>
        <w:spacing w:line="308" w:lineRule="auto"/>
        <w:ind w:firstLine="480" w:firstLineChars="200"/>
        <w:jc w:val="both"/>
        <w:textAlignment w:val="auto"/>
        <w:rPr>
          <w:rFonts w:hint="eastAsia" w:ascii="仿宋" w:hAnsi="仿宋" w:eastAsia="仿宋" w:cs="仿宋"/>
        </w:rPr>
      </w:pPr>
      <w:r>
        <w:rPr>
          <w:rFonts w:hint="eastAsia" w:ascii="仿宋" w:hAnsi="仿宋" w:eastAsia="仿宋" w:cs="仿宋"/>
        </w:rPr>
        <w:t>二、工作目标</w:t>
      </w:r>
    </w:p>
    <w:p>
      <w:pPr>
        <w:keepNext w:val="0"/>
        <w:keepLines w:val="0"/>
        <w:pageBreakBefore w:val="0"/>
        <w:widowControl/>
        <w:kinsoku/>
        <w:wordWrap/>
        <w:overflowPunct/>
        <w:topLinePunct w:val="0"/>
        <w:autoSpaceDE/>
        <w:autoSpaceDN/>
        <w:bidi w:val="0"/>
        <w:adjustRightInd/>
        <w:snapToGrid/>
        <w:spacing w:line="308" w:lineRule="auto"/>
        <w:ind w:firstLine="480" w:firstLineChars="200"/>
        <w:jc w:val="both"/>
        <w:textAlignment w:val="auto"/>
        <w:rPr>
          <w:rFonts w:hint="eastAsia" w:ascii="仿宋" w:hAnsi="仿宋" w:eastAsia="仿宋" w:cs="仿宋"/>
        </w:rPr>
      </w:pPr>
      <w:r>
        <w:rPr>
          <w:rFonts w:hint="eastAsia" w:ascii="仿宋" w:hAnsi="仿宋" w:eastAsia="仿宋" w:cs="仿宋"/>
        </w:rPr>
        <w:t>面向重点领域数字化、智能化职业场景下人才紧缺技术岗位，遴选发布生产企业岗位需求，对接匹配职业教育资源，以中国特色学徒制为主要培养形式，在实践中探索形成现场工程师培养标准，建设一批现场工程师学院，培养一大批具备工匠精神，精操作、懂工艺、会管理、善协作、能创新的现场工程师。</w:t>
      </w:r>
    </w:p>
    <w:p>
      <w:pPr>
        <w:keepNext w:val="0"/>
        <w:keepLines w:val="0"/>
        <w:pageBreakBefore w:val="0"/>
        <w:widowControl/>
        <w:kinsoku/>
        <w:wordWrap/>
        <w:overflowPunct/>
        <w:topLinePunct w:val="0"/>
        <w:autoSpaceDE/>
        <w:autoSpaceDN/>
        <w:bidi w:val="0"/>
        <w:adjustRightInd/>
        <w:snapToGrid/>
        <w:spacing w:line="308" w:lineRule="auto"/>
        <w:ind w:firstLine="480" w:firstLineChars="200"/>
        <w:jc w:val="both"/>
        <w:textAlignment w:val="auto"/>
        <w:rPr>
          <w:rFonts w:hint="eastAsia" w:ascii="仿宋" w:hAnsi="仿宋" w:eastAsia="仿宋" w:cs="仿宋"/>
        </w:rPr>
      </w:pPr>
      <w:r>
        <w:rPr>
          <w:rFonts w:hint="eastAsia" w:ascii="仿宋" w:hAnsi="仿宋" w:eastAsia="仿宋" w:cs="仿宋"/>
        </w:rPr>
        <w:t>三、重点任务</w:t>
      </w:r>
    </w:p>
    <w:p>
      <w:pPr>
        <w:keepNext w:val="0"/>
        <w:keepLines w:val="0"/>
        <w:pageBreakBefore w:val="0"/>
        <w:widowControl/>
        <w:kinsoku/>
        <w:wordWrap/>
        <w:overflowPunct/>
        <w:topLinePunct w:val="0"/>
        <w:autoSpaceDE/>
        <w:autoSpaceDN/>
        <w:bidi w:val="0"/>
        <w:adjustRightInd/>
        <w:snapToGrid/>
        <w:spacing w:line="308" w:lineRule="auto"/>
        <w:ind w:firstLine="480" w:firstLineChars="200"/>
        <w:jc w:val="both"/>
        <w:textAlignment w:val="auto"/>
        <w:rPr>
          <w:rFonts w:hint="eastAsia" w:ascii="仿宋" w:hAnsi="仿宋" w:eastAsia="仿宋" w:cs="仿宋"/>
        </w:rPr>
      </w:pPr>
      <w:r>
        <w:rPr>
          <w:rFonts w:hint="eastAsia" w:ascii="仿宋" w:hAnsi="仿宋" w:eastAsia="仿宋" w:cs="仿宋"/>
        </w:rPr>
        <w:t>（一）校企联合实施学徒培养。项目企业设立现场工程师学徒岗位，明确岗位知识、能力、素质要求。学校、企业和学生签订学徒培养协议，明确三方的权利和责任，明确学徒参照企业职工或见习职工享受相关待遇，落实企业职工教育经费用于学徒培养和员工职业教育。校企共同制定和实施人才培养方案、构建专业课程体系、开发建设核心课程、开发建设高水平教材以及配套的数字化资源，基于真实生产任务灵活组织教学，工学交替强化实践能力培养。</w:t>
      </w:r>
    </w:p>
    <w:p>
      <w:pPr>
        <w:keepNext w:val="0"/>
        <w:keepLines w:val="0"/>
        <w:pageBreakBefore w:val="0"/>
        <w:widowControl/>
        <w:kinsoku/>
        <w:wordWrap/>
        <w:overflowPunct/>
        <w:topLinePunct w:val="0"/>
        <w:autoSpaceDE/>
        <w:autoSpaceDN/>
        <w:bidi w:val="0"/>
        <w:adjustRightInd/>
        <w:snapToGrid/>
        <w:spacing w:line="308" w:lineRule="auto"/>
        <w:ind w:firstLine="480" w:firstLineChars="200"/>
        <w:jc w:val="both"/>
        <w:textAlignment w:val="auto"/>
        <w:rPr>
          <w:rFonts w:hint="eastAsia" w:ascii="仿宋" w:hAnsi="仿宋" w:eastAsia="仿宋" w:cs="仿宋"/>
        </w:rPr>
      </w:pPr>
      <w:r>
        <w:rPr>
          <w:rFonts w:hint="eastAsia" w:ascii="仿宋" w:hAnsi="仿宋" w:eastAsia="仿宋" w:cs="仿宋"/>
        </w:rPr>
        <w:t>（二）推进招生考试评价改革。完善“文化素质+职业技能”考试招生办法，根据岗位人才需要，校企联合招生（项目企业可根据需要向项目学校提出招生选拔的标准和要求）。项目学校根据教育部相关招生政策开展中职、高职专科、高职本科等人才选拔和培养，实行小班化教学，支持通过中高职贯通培养、专 升本等形式提升教育层次、接续培养。校企联合设计和开展教学考核评价改革，开展职业能力评价，设立 淘汰机制，实现动态择优增补。职业能力评价结果作为入职项目企业的定岗定级定薪参考。探索项目企业按照人才培养方案独立承担学分课程。</w:t>
      </w:r>
    </w:p>
    <w:p>
      <w:pPr>
        <w:keepNext w:val="0"/>
        <w:keepLines w:val="0"/>
        <w:pageBreakBefore w:val="0"/>
        <w:widowControl/>
        <w:kinsoku/>
        <w:wordWrap/>
        <w:overflowPunct/>
        <w:topLinePunct w:val="0"/>
        <w:autoSpaceDE/>
        <w:autoSpaceDN/>
        <w:bidi w:val="0"/>
        <w:adjustRightInd/>
        <w:snapToGrid/>
        <w:spacing w:line="308" w:lineRule="auto"/>
        <w:ind w:firstLine="480" w:firstLineChars="200"/>
        <w:jc w:val="both"/>
        <w:textAlignment w:val="auto"/>
        <w:rPr>
          <w:rFonts w:hint="eastAsia" w:ascii="仿宋" w:hAnsi="仿宋" w:eastAsia="仿宋" w:cs="仿宋"/>
        </w:rPr>
      </w:pPr>
      <w:r>
        <w:rPr>
          <w:rFonts w:hint="eastAsia" w:ascii="仿宋" w:hAnsi="仿宋" w:eastAsia="仿宋" w:cs="仿宋"/>
        </w:rPr>
        <w:t xml:space="preserve">（三）打造双师结构教学团队。项目企业选派具有教学能力的相关专业技术人员、经营管理人员参加学徒培养，承担专业课程教学任务，指导岗位实践教学，与学校专任教师共同开展教学研究。项目企业选 派的承担教学任务的人员可以收取课酬。项目学校相关教师定期到企业进行岗位实践、参与企业工程实践 或技术攻关，可以按规定取酬。 </w:t>
      </w:r>
    </w:p>
    <w:p>
      <w:pPr>
        <w:keepNext w:val="0"/>
        <w:keepLines w:val="0"/>
        <w:pageBreakBefore w:val="0"/>
        <w:widowControl/>
        <w:kinsoku/>
        <w:wordWrap/>
        <w:overflowPunct/>
        <w:topLinePunct w:val="0"/>
        <w:autoSpaceDE/>
        <w:autoSpaceDN/>
        <w:bidi w:val="0"/>
        <w:adjustRightInd/>
        <w:snapToGrid/>
        <w:spacing w:line="308" w:lineRule="auto"/>
        <w:ind w:firstLine="480" w:firstLineChars="200"/>
        <w:jc w:val="both"/>
        <w:textAlignment w:val="auto"/>
        <w:rPr>
          <w:rFonts w:hint="eastAsia" w:ascii="仿宋" w:hAnsi="仿宋" w:eastAsia="仿宋" w:cs="仿宋"/>
        </w:rPr>
      </w:pPr>
      <w:r>
        <w:rPr>
          <w:rFonts w:hint="eastAsia" w:ascii="仿宋" w:hAnsi="仿宋" w:eastAsia="仿宋" w:cs="仿宋"/>
        </w:rPr>
        <w:t>（四）助力提升员工数字技能。项目学校发挥办学优势和专业特长，对接产业数字化、数字产业化需求，按照企业需要协同开发培训资源，根据企业运行特点，充分运用现代信息技术和多种授课方式，面向企业在职员工开展入职培训、专业技术培训和数字能力提升培训。加强人才培养培训标准和模式的国际交流与合作。</w:t>
      </w:r>
    </w:p>
    <w:p>
      <w:pPr>
        <w:keepNext w:val="0"/>
        <w:keepLines w:val="0"/>
        <w:pageBreakBefore w:val="0"/>
        <w:widowControl/>
        <w:kinsoku/>
        <w:wordWrap/>
        <w:overflowPunct/>
        <w:topLinePunct w:val="0"/>
        <w:autoSpaceDE/>
        <w:autoSpaceDN/>
        <w:bidi w:val="0"/>
        <w:adjustRightInd/>
        <w:snapToGrid/>
        <w:spacing w:line="308" w:lineRule="auto"/>
        <w:ind w:firstLine="480" w:firstLineChars="200"/>
        <w:jc w:val="both"/>
        <w:textAlignment w:val="auto"/>
        <w:rPr>
          <w:rFonts w:hint="eastAsia" w:ascii="仿宋" w:hAnsi="仿宋" w:eastAsia="仿宋" w:cs="仿宋"/>
        </w:rPr>
      </w:pPr>
      <w:r>
        <w:rPr>
          <w:rFonts w:hint="eastAsia" w:ascii="仿宋" w:hAnsi="仿宋" w:eastAsia="仿宋" w:cs="仿宋"/>
        </w:rPr>
        <w:t xml:space="preserve"> 5．2022年10月15日，教育部办公厅发布了《关于做好职业教育“双师型”教师认定工作的通知》</w:t>
      </w:r>
      <w:r>
        <w:rPr>
          <w:rFonts w:hint="eastAsia" w:ascii="仿宋" w:hAnsi="仿宋" w:eastAsia="仿宋" w:cs="仿宋"/>
          <w:lang w:eastAsia="zh-CN"/>
        </w:rPr>
        <w:t>（</w:t>
      </w:r>
      <w:r>
        <w:rPr>
          <w:rFonts w:hint="eastAsia" w:ascii="仿宋" w:hAnsi="仿宋" w:eastAsia="仿宋" w:cs="仿宋"/>
        </w:rPr>
        <w:t>教师厅〔2022〕2号</w:t>
      </w:r>
      <w:r>
        <w:rPr>
          <w:rFonts w:hint="eastAsia" w:ascii="仿宋" w:hAnsi="仿宋" w:eastAsia="仿宋" w:cs="仿宋"/>
          <w:lang w:eastAsia="zh-CN"/>
        </w:rPr>
        <w:t>）</w:t>
      </w:r>
      <w:r>
        <w:rPr>
          <w:rFonts w:hint="eastAsia" w:ascii="仿宋" w:hAnsi="仿宋" w:eastAsia="仿宋" w:cs="仿宋"/>
        </w:rPr>
        <w:t>, 为贯彻党的二十大精神，落实新修订的《中华人民共和国职业教育法》《中共中央国务院关于全面深 化新时代教师队伍建设改革的意见》和中共中央办公厅、国务院办公厅印发《关于推动现代职业教育高质量发展的意见》要求，加快推进职业教育“双师型”教师队伍高质量建设，健全教师标准体系，现就职业 教育“双师型”教师认定工作通知如下。一、明确认定范围。二、严格标准要求。三、加强组织实施. 四、强化监督评价。五、促进持续发展。六、注重作用发挥。</w:t>
      </w:r>
    </w:p>
    <w:p>
      <w:pPr>
        <w:keepNext w:val="0"/>
        <w:keepLines w:val="0"/>
        <w:pageBreakBefore w:val="0"/>
        <w:widowControl/>
        <w:kinsoku/>
        <w:wordWrap/>
        <w:overflowPunct/>
        <w:topLinePunct w:val="0"/>
        <w:autoSpaceDE/>
        <w:autoSpaceDN/>
        <w:bidi w:val="0"/>
        <w:adjustRightInd/>
        <w:snapToGrid/>
        <w:spacing w:line="308" w:lineRule="auto"/>
        <w:ind w:firstLine="480" w:firstLineChars="200"/>
        <w:jc w:val="both"/>
        <w:textAlignment w:val="auto"/>
        <w:rPr>
          <w:rFonts w:hint="eastAsia" w:ascii="仿宋" w:hAnsi="仿宋" w:eastAsia="仿宋" w:cs="仿宋"/>
        </w:rPr>
      </w:pPr>
      <w:r>
        <w:rPr>
          <w:rFonts w:hint="eastAsia" w:ascii="仿宋" w:hAnsi="仿宋" w:eastAsia="仿宋" w:cs="仿宋"/>
        </w:rPr>
        <w:t>各省级教育行政部门应结合本地具体情况，以及不同教育层次、专业大类等，参照制定修订本级“双师型”教师认定标准、实施办法，明确支持举 措，实行分类评价，并适时调整完善。各地各校制定的“双师型”教师认定标准不低于国家规定的基本标准，可结合实际明确破格条件。</w:t>
      </w:r>
    </w:p>
    <w:p>
      <w:pPr>
        <w:keepNext w:val="0"/>
        <w:keepLines w:val="0"/>
        <w:pageBreakBefore w:val="0"/>
        <w:widowControl/>
        <w:kinsoku/>
        <w:wordWrap/>
        <w:overflowPunct/>
        <w:topLinePunct w:val="0"/>
        <w:autoSpaceDE/>
        <w:autoSpaceDN/>
        <w:bidi w:val="0"/>
        <w:adjustRightInd/>
        <w:snapToGrid/>
        <w:spacing w:line="308" w:lineRule="auto"/>
        <w:ind w:firstLine="480" w:firstLineChars="200"/>
        <w:jc w:val="both"/>
        <w:textAlignment w:val="auto"/>
        <w:rPr>
          <w:rFonts w:hint="eastAsia" w:ascii="仿宋" w:hAnsi="仿宋" w:eastAsia="仿宋" w:cs="仿宋"/>
        </w:rPr>
      </w:pPr>
      <w:r>
        <w:rPr>
          <w:rFonts w:hint="eastAsia" w:ascii="仿宋" w:hAnsi="仿宋" w:eastAsia="仿宋" w:cs="仿宋"/>
        </w:rPr>
        <w:t xml:space="preserve">6.2022年11月9日，教育部等五部门发布了《关于印发职业学校办学条件达标工程实施方案的通知》（教职成〔2022〕5号），为贯彻落实全国职业教育大会精神和2022年《政府工作报告》，进一步优化职业教育布局结构，全面改善职业学校（含技工学校，下同）办学条件，提高办学质量、提升办学形象，制定本方案。重点任务如下： </w:t>
      </w:r>
    </w:p>
    <w:p>
      <w:pPr>
        <w:keepNext w:val="0"/>
        <w:keepLines w:val="0"/>
        <w:pageBreakBefore w:val="0"/>
        <w:widowControl/>
        <w:kinsoku/>
        <w:wordWrap/>
        <w:overflowPunct/>
        <w:topLinePunct w:val="0"/>
        <w:autoSpaceDE/>
        <w:autoSpaceDN/>
        <w:bidi w:val="0"/>
        <w:adjustRightInd/>
        <w:snapToGrid/>
        <w:spacing w:line="308" w:lineRule="auto"/>
        <w:ind w:firstLine="480" w:firstLineChars="200"/>
        <w:jc w:val="both"/>
        <w:textAlignment w:val="auto"/>
        <w:rPr>
          <w:rFonts w:hint="eastAsia" w:ascii="仿宋" w:hAnsi="仿宋" w:eastAsia="仿宋" w:cs="仿宋"/>
        </w:rPr>
      </w:pPr>
      <w:r>
        <w:rPr>
          <w:rFonts w:hint="eastAsia" w:ascii="仿宋" w:hAnsi="仿宋" w:eastAsia="仿宋" w:cs="仿宋"/>
        </w:rPr>
        <w:t>（一）整合资源优化布局。各地要统筹区域职业教育资源，结合区域经济社会发展需求，采取合并、集团化办学、终止办学等形式，优化职业学校布局，合理确定招生规模。</w:t>
      </w:r>
    </w:p>
    <w:p>
      <w:pPr>
        <w:keepNext w:val="0"/>
        <w:keepLines w:val="0"/>
        <w:pageBreakBefore w:val="0"/>
        <w:widowControl/>
        <w:kinsoku/>
        <w:wordWrap/>
        <w:overflowPunct/>
        <w:topLinePunct w:val="0"/>
        <w:autoSpaceDE/>
        <w:autoSpaceDN/>
        <w:bidi w:val="0"/>
        <w:adjustRightInd/>
        <w:snapToGrid/>
        <w:spacing w:line="308" w:lineRule="auto"/>
        <w:ind w:firstLine="480" w:firstLineChars="200"/>
        <w:jc w:val="both"/>
        <w:textAlignment w:val="auto"/>
        <w:rPr>
          <w:rFonts w:hint="eastAsia" w:ascii="仿宋" w:hAnsi="仿宋" w:eastAsia="仿宋" w:cs="仿宋"/>
        </w:rPr>
      </w:pPr>
      <w:r>
        <w:rPr>
          <w:rFonts w:hint="eastAsia" w:ascii="仿宋" w:hAnsi="仿宋" w:eastAsia="仿宋" w:cs="仿宋"/>
        </w:rPr>
        <w:t>（二）加强职业学校基础设施建设。各地要全面核查职业学校基础设施，针对拟保留学校，要分类制定办学条件补齐方案</w:t>
      </w:r>
    </w:p>
    <w:p>
      <w:pPr>
        <w:keepNext w:val="0"/>
        <w:keepLines w:val="0"/>
        <w:pageBreakBefore w:val="0"/>
        <w:widowControl/>
        <w:kinsoku/>
        <w:wordWrap/>
        <w:overflowPunct/>
        <w:topLinePunct w:val="0"/>
        <w:autoSpaceDE/>
        <w:autoSpaceDN/>
        <w:bidi w:val="0"/>
        <w:adjustRightInd/>
        <w:snapToGrid/>
        <w:spacing w:line="308" w:lineRule="auto"/>
        <w:ind w:firstLine="480" w:firstLineChars="200"/>
        <w:jc w:val="both"/>
        <w:textAlignment w:val="auto"/>
        <w:rPr>
          <w:rFonts w:hint="eastAsia" w:ascii="仿宋" w:hAnsi="仿宋" w:eastAsia="仿宋" w:cs="仿宋"/>
        </w:rPr>
      </w:pPr>
      <w:r>
        <w:rPr>
          <w:rFonts w:hint="eastAsia" w:ascii="仿宋" w:hAnsi="仿宋" w:eastAsia="仿宋" w:cs="仿宋"/>
        </w:rPr>
        <w:t>（三）优化职业学校师资队伍建设。各地要按照职业学校师资配备标准，用好盘活事业编制资源，优先支持职业教育。</w:t>
      </w:r>
    </w:p>
    <w:p>
      <w:pPr>
        <w:keepNext w:val="0"/>
        <w:keepLines w:val="0"/>
        <w:pageBreakBefore w:val="0"/>
        <w:widowControl/>
        <w:kinsoku/>
        <w:wordWrap/>
        <w:overflowPunct/>
        <w:topLinePunct w:val="0"/>
        <w:autoSpaceDE/>
        <w:autoSpaceDN/>
        <w:bidi w:val="0"/>
        <w:adjustRightInd/>
        <w:snapToGrid/>
        <w:spacing w:line="308" w:lineRule="auto"/>
        <w:ind w:firstLine="480" w:firstLineChars="200"/>
        <w:jc w:val="both"/>
        <w:textAlignment w:val="auto"/>
        <w:rPr>
          <w:rFonts w:hint="eastAsia" w:ascii="仿宋" w:hAnsi="仿宋" w:eastAsia="仿宋" w:cs="仿宋"/>
        </w:rPr>
      </w:pPr>
      <w:r>
        <w:rPr>
          <w:rFonts w:hint="eastAsia" w:ascii="仿宋" w:hAnsi="仿宋" w:eastAsia="仿宋" w:cs="仿宋"/>
        </w:rPr>
        <w:t>（四）改善职业学校教学条件。各地要加强教育相关公共基础设施建设，汇聚各方资源建设一批集实习实训、社会培训、技术服务于一体的高水平实训基地。</w:t>
      </w:r>
    </w:p>
    <w:p>
      <w:pPr>
        <w:keepNext w:val="0"/>
        <w:keepLines w:val="0"/>
        <w:pageBreakBefore w:val="0"/>
        <w:widowControl/>
        <w:kinsoku/>
        <w:wordWrap/>
        <w:overflowPunct/>
        <w:topLinePunct w:val="0"/>
        <w:autoSpaceDE/>
        <w:autoSpaceDN/>
        <w:bidi w:val="0"/>
        <w:adjustRightInd/>
        <w:snapToGrid/>
        <w:spacing w:line="308" w:lineRule="auto"/>
        <w:ind w:firstLine="480" w:firstLineChars="200"/>
        <w:jc w:val="both"/>
        <w:textAlignment w:val="auto"/>
        <w:rPr>
          <w:rFonts w:hint="eastAsia" w:ascii="仿宋" w:hAnsi="仿宋" w:eastAsia="仿宋" w:cs="仿宋"/>
        </w:rPr>
      </w:pPr>
      <w:r>
        <w:rPr>
          <w:rFonts w:hint="eastAsia" w:ascii="仿宋" w:hAnsi="仿宋" w:eastAsia="仿宋" w:cs="仿宋"/>
        </w:rPr>
        <w:t>（五）多渠道筹措办学经费。各地补齐办学条件缺口要优化整合存量资源，共享共用公共教育资源，确需财政增加投入的，坚持量力而行、尽力而为。</w:t>
      </w:r>
    </w:p>
    <w:p>
      <w:pPr>
        <w:keepNext w:val="0"/>
        <w:keepLines w:val="0"/>
        <w:pageBreakBefore w:val="0"/>
        <w:widowControl/>
        <w:kinsoku/>
        <w:wordWrap/>
        <w:overflowPunct/>
        <w:topLinePunct w:val="0"/>
        <w:autoSpaceDE/>
        <w:autoSpaceDN/>
        <w:bidi w:val="0"/>
        <w:adjustRightInd/>
        <w:snapToGrid/>
        <w:spacing w:line="308" w:lineRule="auto"/>
        <w:ind w:firstLine="480" w:firstLineChars="200"/>
        <w:jc w:val="both"/>
        <w:textAlignment w:val="auto"/>
        <w:rPr>
          <w:rFonts w:hint="eastAsia" w:ascii="仿宋" w:hAnsi="仿宋" w:eastAsia="仿宋" w:cs="仿宋"/>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NiOGI4NTkxNTkxZDU0OTRiNTBiMTkxN2UwNjY2NWEifQ=="/>
  </w:docVars>
  <w:rsids>
    <w:rsidRoot w:val="34536FF9"/>
    <w:rsid w:val="09496506"/>
    <w:rsid w:val="10180690"/>
    <w:rsid w:val="1C220782"/>
    <w:rsid w:val="34536FF9"/>
    <w:rsid w:val="48556179"/>
    <w:rsid w:val="4D735D99"/>
    <w:rsid w:val="53806594"/>
    <w:rsid w:val="5C424E35"/>
    <w:rsid w:val="618F3D8F"/>
    <w:rsid w:val="74EC717D"/>
    <w:rsid w:val="7CCC11D9"/>
    <w:rsid w:val="7F7F39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left"/>
    </w:pPr>
    <w:rPr>
      <w:rFonts w:ascii="Calibri" w:hAnsi="Calibri" w:eastAsia="宋体" w:cs="宋体"/>
      <w:kern w:val="0"/>
      <w:sz w:val="24"/>
      <w:szCs w:val="24"/>
      <w:lang w:val="en-US" w:eastAsia="zh-CN"/>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rPr>
      <w:rFonts w:ascii="Calibri" w:hAnsi="Calibri" w:eastAsia="宋体"/>
      <w:kern w:val="0"/>
      <w:sz w:val="20"/>
      <w:szCs w:val="20"/>
    </w:rPr>
  </w:style>
  <w:style w:type="paragraph" w:styleId="3">
    <w:name w:val="Body Text"/>
    <w:basedOn w:val="1"/>
    <w:next w:val="1"/>
    <w:qFormat/>
    <w:uiPriority w:val="1"/>
    <w:pPr>
      <w:ind w:left="140"/>
    </w:pPr>
    <w:rPr>
      <w:rFonts w:ascii="宋体" w:hAnsi="宋体" w:eastAsia="宋体"/>
      <w:sz w:val="32"/>
      <w:szCs w:val="32"/>
    </w:rPr>
  </w:style>
  <w:style w:type="paragraph" w:customStyle="1" w:styleId="6">
    <w:name w:val="大标题one"/>
    <w:basedOn w:val="1"/>
    <w:qFormat/>
    <w:uiPriority w:val="0"/>
    <w:pPr>
      <w:spacing w:line="308" w:lineRule="auto"/>
      <w:jc w:val="center"/>
      <w:outlineLvl w:val="0"/>
    </w:pPr>
    <w:rPr>
      <w:rFonts w:ascii="黑体" w:hAnsi="黑体" w:eastAsia="黑体"/>
      <w:b/>
      <w:sz w:val="3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3565</Words>
  <Characters>3716</Characters>
  <Lines>0</Lines>
  <Paragraphs>0</Paragraphs>
  <TotalTime>2</TotalTime>
  <ScaleCrop>false</ScaleCrop>
  <LinksUpToDate>false</LinksUpToDate>
  <CharactersWithSpaces>3739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2022-05-05T11:12:00Z</dcterms:created>
  <dc:creator>云淡风轻</dc:creator>
  <cp:lastModifiedBy>诺诺诺</cp:lastModifiedBy>
  <dcterms:modified xsi:type="dcterms:W3CDTF">2023-05-16T01:27:17Z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F5045437590B4A0AABE153358E21D48B_13</vt:lpwstr>
  </property>
</Properties>
</file>