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（一）《福州软件职业技术学院元宇宙试点课程听课评析表（理论课）》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instrText xml:space="preserve"> HYPERLINK "https://www.wjx.cn/vm/PMhNRhA.aspx#"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https://www.wjx.cn/vm/PMhNRhA.aspx#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94615</wp:posOffset>
            </wp:positionV>
            <wp:extent cx="3452495" cy="5761355"/>
            <wp:effectExtent l="0" t="0" r="14605" b="10795"/>
            <wp:wrapTopAndBottom/>
            <wp:docPr id="3" name="图片 3" descr="问卷星二维码海报理论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问卷星二维码海报理论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（二）《福州软件职业技术学院元宇宙试点课程听课评析表（实践课）》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instrText xml:space="preserve"> HYPERLINK "https://www.wjx.cn/vm/Pkp21Rh.aspx#"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https://www.wjx.cn/vm/Pkp21Rh.aspx#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50800</wp:posOffset>
            </wp:positionV>
            <wp:extent cx="3446145" cy="5751830"/>
            <wp:effectExtent l="0" t="0" r="1905" b="1270"/>
            <wp:wrapTopAndBottom/>
            <wp:docPr id="4" name="图片 4" descr="问卷星二维码海报实践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问卷星二维码海报实践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575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jEwZGUwZTEyNDNmZGEwNDc5MmY4ZDgxYmVhOTEifQ=="/>
  </w:docVars>
  <w:rsids>
    <w:rsidRoot w:val="00000000"/>
    <w:rsid w:val="4BC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2023-03-10T01:29:06Z</dcterms:created>
  <dc:creator>HP</dc:creator>
  <cp:lastModifiedBy>薯条他妹</cp:lastModifiedBy>
  <dcterms:modified xsi:type="dcterms:W3CDTF">2023-03-10T01:29:12Z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F2EE043381F94C91B488E0E78FBDDFA6</vt:lpwstr>
  </property>
</Properties>
</file>