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hint="eastAsia" w:ascii="黑体" w:eastAsia="黑体"/>
          <w:b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44"/>
          <w:szCs w:val="44"/>
        </w:rPr>
        <w:t>福州软件职业技术学院教学成果（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含荣誉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）奖励办法（试行）</w:t>
      </w:r>
    </w:p>
    <w:p>
      <w:pPr>
        <w:spacing w:line="360" w:lineRule="auto"/>
        <w:ind w:firstLine="3000" w:firstLineChars="1000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第一条  为充分调动教职工从事教学工作的积极性和创造性，进一步提高教学水平和人才培养质量，特制定本办法。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第二条  教学成果(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含荣誉</w:t>
      </w:r>
      <w:r>
        <w:rPr>
          <w:rFonts w:hint="eastAsia" w:ascii="仿宋" w:hAnsi="仿宋" w:eastAsia="仿宋"/>
          <w:color w:val="auto"/>
          <w:sz w:val="32"/>
          <w:szCs w:val="32"/>
        </w:rPr>
        <w:t>)奖励的范围：教学成果奖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专业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群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建设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实训</w:t>
      </w:r>
      <w:r>
        <w:rPr>
          <w:rFonts w:hint="eastAsia" w:ascii="仿宋" w:hAnsi="仿宋" w:eastAsia="仿宋"/>
          <w:color w:val="auto"/>
          <w:sz w:val="32"/>
          <w:szCs w:val="32"/>
        </w:rPr>
        <w:t>基地建设（含校内外）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师资队伍建设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课程建设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行政主管部门举办的各类职业技能大赛与教学类比赛获奖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教学竞赛、荣誉、项目奖励</w:t>
      </w:r>
      <w:r>
        <w:rPr>
          <w:rFonts w:hint="eastAsia" w:ascii="仿宋" w:hAnsi="仿宋" w:eastAsia="仿宋"/>
          <w:color w:val="auto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第三条  套发项目奖励的范围：获得各级教学成果奖（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含荣誉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奖项，如上级有关单位有拨付相关建设配套经费的，可按项目奖励方案套发（就高原则）。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第四条  教学奖励的对象：我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/>
          <w:color w:val="auto"/>
          <w:sz w:val="32"/>
          <w:szCs w:val="32"/>
        </w:rPr>
        <w:t>在岗在编人员，且成果（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含荣誉</w:t>
      </w:r>
      <w:r>
        <w:rPr>
          <w:rFonts w:hint="eastAsia" w:ascii="仿宋" w:hAnsi="仿宋" w:eastAsia="仿宋"/>
          <w:color w:val="auto"/>
          <w:sz w:val="32"/>
          <w:szCs w:val="32"/>
        </w:rPr>
        <w:t>）第一署名单位为福州软件职业技术学院。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第五条  教学奖励的标准。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0"/>
        <w:gridCol w:w="1464"/>
        <w:gridCol w:w="1150"/>
        <w:gridCol w:w="1322"/>
        <w:gridCol w:w="1601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atLeast"/>
          <w:jc w:val="center"/>
        </w:trPr>
        <w:tc>
          <w:tcPr>
            <w:tcW w:w="670" w:type="dxa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30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成果（项目）</w:t>
            </w:r>
          </w:p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类别</w:t>
            </w:r>
          </w:p>
        </w:tc>
        <w:tc>
          <w:tcPr>
            <w:tcW w:w="2472" w:type="dxa"/>
            <w:gridSpan w:val="2"/>
            <w:noWrap w:val="0"/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级别与等级</w:t>
            </w:r>
          </w:p>
        </w:tc>
        <w:tc>
          <w:tcPr>
            <w:tcW w:w="16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奖励金额</w:t>
            </w:r>
          </w:p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（单位：万元）</w:t>
            </w:r>
          </w:p>
        </w:tc>
        <w:tc>
          <w:tcPr>
            <w:tcW w:w="2221" w:type="dxa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restart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3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教学成果奖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特等奖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2221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Ansi="宋体"/>
                <w:szCs w:val="21"/>
              </w:rPr>
              <w:t>以获奖文件或证书为依据</w:t>
            </w:r>
            <w:r>
              <w:rPr>
                <w:rFonts w:hint="eastAsia" w:hAnsi="宋体"/>
                <w:szCs w:val="21"/>
                <w:lang w:eastAsia="zh-CN"/>
              </w:rPr>
              <w:t>，</w:t>
            </w:r>
            <w:r>
              <w:rPr>
                <w:rFonts w:hint="eastAsia" w:hAnsi="宋体"/>
                <w:szCs w:val="21"/>
                <w:lang w:val="en-US" w:eastAsia="zh-CN"/>
              </w:rPr>
              <w:t>由教育主管部门组织评选</w:t>
            </w:r>
            <w:r>
              <w:rPr>
                <w:rFonts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3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一等奖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3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二等奖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3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省级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特等奖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3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一等奖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3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二等奖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restart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30" w:lineRule="exact"/>
              <w:jc w:val="center"/>
              <w:rPr>
                <w:rFonts w:hint="eastAsia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2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高水平职业职业院校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国家级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A/B类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50/20</w:t>
            </w:r>
          </w:p>
        </w:tc>
        <w:tc>
          <w:tcPr>
            <w:tcW w:w="2221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30" w:lineRule="exact"/>
              <w:jc w:val="center"/>
              <w:rPr>
                <w:rFonts w:hint="eastAsia" w:hAnsi="宋体"/>
                <w:szCs w:val="21"/>
                <w:lang w:val="en-US" w:eastAsia="zh-CN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省级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A/B类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3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20/10</w:t>
            </w: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" w:hRule="atLeast"/>
          <w:jc w:val="center"/>
        </w:trPr>
        <w:tc>
          <w:tcPr>
            <w:tcW w:w="670" w:type="dxa"/>
            <w:vMerge w:val="restart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高水平</w:t>
            </w:r>
            <w:r>
              <w:rPr>
                <w:rFonts w:hAnsi="宋体"/>
                <w:szCs w:val="21"/>
              </w:rPr>
              <w:t>专业</w:t>
            </w:r>
            <w:r>
              <w:rPr>
                <w:rFonts w:hint="eastAsia" w:hAnsi="宋体"/>
                <w:szCs w:val="21"/>
                <w:lang w:val="en-US" w:eastAsia="zh-CN"/>
              </w:rPr>
              <w:t>群</w:t>
            </w:r>
            <w:r>
              <w:rPr>
                <w:rFonts w:hAnsi="宋体"/>
                <w:szCs w:val="21"/>
              </w:rPr>
              <w:t>建设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A/B类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20/10</w:t>
            </w:r>
          </w:p>
        </w:tc>
        <w:tc>
          <w:tcPr>
            <w:tcW w:w="2221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省级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A/B类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3/1.5</w:t>
            </w: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670" w:type="dxa"/>
            <w:vMerge w:val="restart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3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产业学院/专业建设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国家级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A/B类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5/2</w:t>
            </w:r>
          </w:p>
        </w:tc>
        <w:tc>
          <w:tcPr>
            <w:tcW w:w="2221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zCs w:val="21"/>
                <w:lang w:val="en-US" w:eastAsia="zh-CN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省级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A/B类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1/0.5</w:t>
            </w: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zCs w:val="21"/>
                <w:lang w:val="en-US" w:eastAsia="zh-CN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市级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A/B类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0.5/0.2</w:t>
            </w: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670" w:type="dxa"/>
            <w:vMerge w:val="restart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3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实训</w:t>
            </w:r>
            <w:r>
              <w:rPr>
                <w:rFonts w:hint="eastAsia" w:hAnsi="宋体"/>
                <w:szCs w:val="21"/>
              </w:rPr>
              <w:t>教学基地建设（含校内外）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------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2221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省级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------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0.6</w:t>
            </w: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市级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------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0.3</w:t>
            </w: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7" w:hRule="atLeast"/>
          <w:jc w:val="center"/>
        </w:trPr>
        <w:tc>
          <w:tcPr>
            <w:tcW w:w="670" w:type="dxa"/>
            <w:vMerge w:val="restart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4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师资队伍建设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团队/个人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5/2</w:t>
            </w:r>
          </w:p>
        </w:tc>
        <w:tc>
          <w:tcPr>
            <w:tcW w:w="2221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Ansi="宋体"/>
                <w:szCs w:val="21"/>
              </w:rPr>
              <w:t>以获选批文或证书为依据。</w:t>
            </w:r>
            <w:r>
              <w:rPr>
                <w:rFonts w:hint="eastAsia" w:hAnsi="宋体"/>
                <w:szCs w:val="21"/>
                <w:lang w:val="en-US" w:eastAsia="zh-CN"/>
              </w:rPr>
              <w:t>包括教学团队、专业带头人等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省级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团队/个人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1.5/0.5</w:t>
            </w: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市级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团队/个人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0.6/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.2</w:t>
            </w: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" w:hRule="atLeast"/>
          <w:jc w:val="center"/>
        </w:trPr>
        <w:tc>
          <w:tcPr>
            <w:tcW w:w="670" w:type="dxa"/>
            <w:vMerge w:val="restart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5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课程建设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------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2221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Ansi="宋体"/>
                <w:szCs w:val="21"/>
              </w:rPr>
              <w:t>以</w:t>
            </w:r>
            <w:r>
              <w:rPr>
                <w:rFonts w:hint="eastAsia" w:hAnsi="宋体"/>
                <w:szCs w:val="21"/>
                <w:lang w:val="en-US" w:eastAsia="zh-CN"/>
              </w:rPr>
              <w:t>结题</w:t>
            </w:r>
            <w:r>
              <w:rPr>
                <w:rFonts w:hAnsi="宋体"/>
                <w:szCs w:val="21"/>
              </w:rPr>
              <w:t>为依据。</w:t>
            </w:r>
            <w:r>
              <w:rPr>
                <w:rFonts w:hint="eastAsia" w:hAnsi="宋体"/>
                <w:szCs w:val="21"/>
                <w:lang w:val="en-US" w:eastAsia="zh-CN"/>
              </w:rPr>
              <w:t>包括精品在线开放课、专业教学资源库（1门课程算一个项目）、示范课、教材建设等。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省级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------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0.6</w:t>
            </w: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市级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------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7" w:hRule="atLeast"/>
          <w:jc w:val="center"/>
        </w:trPr>
        <w:tc>
          <w:tcPr>
            <w:tcW w:w="670" w:type="dxa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6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指导学生</w:t>
            </w:r>
          </w:p>
          <w:p>
            <w:pPr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参加</w:t>
            </w:r>
            <w:r>
              <w:rPr>
                <w:rFonts w:hint="eastAsia" w:hAnsi="宋体"/>
                <w:szCs w:val="21"/>
              </w:rPr>
              <w:t>技能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竞赛</w:t>
            </w:r>
            <w:r>
              <w:rPr>
                <w:rFonts w:hint="eastAsia" w:hAnsi="宋体"/>
                <w:szCs w:val="21"/>
              </w:rPr>
              <w:t>、创新创业</w:t>
            </w:r>
            <w:r>
              <w:rPr>
                <w:rFonts w:hint="eastAsia" w:hAnsi="宋体"/>
                <w:szCs w:val="21"/>
                <w:lang w:val="en-US" w:eastAsia="zh-CN"/>
              </w:rPr>
              <w:t>大赛等</w:t>
            </w:r>
            <w:r>
              <w:rPr>
                <w:rFonts w:hAnsi="宋体"/>
                <w:szCs w:val="21"/>
              </w:rPr>
              <w:t>获奖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按照“</w:t>
            </w:r>
            <w:r>
              <w:rPr>
                <w:rFonts w:hint="eastAsia" w:ascii="宋体" w:hAnsi="宋体"/>
                <w:szCs w:val="21"/>
              </w:rPr>
              <w:t>福州软件职业技术学院职业技能竞赛奖励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与管理</w:t>
            </w:r>
            <w:r>
              <w:rPr>
                <w:rFonts w:hint="eastAsia" w:ascii="宋体" w:hAnsi="宋体"/>
                <w:szCs w:val="21"/>
              </w:rPr>
              <w:t>办法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执行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根据指导教师贡献大小，由负责组织参赛的单位自行确定奖金的具体分配办法。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比赛设特等奖的对应本办法一等奖，依次类推。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" w:hRule="atLeast"/>
          <w:jc w:val="center"/>
        </w:trPr>
        <w:tc>
          <w:tcPr>
            <w:tcW w:w="670" w:type="dxa"/>
            <w:vMerge w:val="restart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7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教学类比赛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一等奖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团队/个人</w:t>
            </w:r>
            <w:r>
              <w:rPr>
                <w:rFonts w:hint="eastAsia" w:hAnsi="宋体"/>
                <w:szCs w:val="21"/>
                <w:lang w:eastAsia="zh-CN"/>
              </w:rPr>
              <w:t>）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5/3</w:t>
            </w:r>
          </w:p>
        </w:tc>
        <w:tc>
          <w:tcPr>
            <w:tcW w:w="2221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Ansi="宋体"/>
                <w:szCs w:val="21"/>
              </w:rPr>
              <w:t>以</w:t>
            </w:r>
            <w:r>
              <w:rPr>
                <w:rFonts w:hint="eastAsia" w:hAnsi="宋体"/>
                <w:szCs w:val="21"/>
                <w:lang w:val="en-US" w:eastAsia="zh-CN"/>
              </w:rPr>
              <w:t>正式组织的比赛</w:t>
            </w:r>
            <w:r>
              <w:rPr>
                <w:rFonts w:hAnsi="宋体"/>
                <w:szCs w:val="21"/>
              </w:rPr>
              <w:t>获奖证书或文件为依据。</w:t>
            </w:r>
          </w:p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二等奖</w:t>
            </w:r>
          </w:p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团队/个人</w:t>
            </w:r>
            <w:r>
              <w:rPr>
                <w:rFonts w:hint="eastAsia" w:hAnsi="宋体"/>
                <w:szCs w:val="21"/>
                <w:lang w:eastAsia="zh-CN"/>
              </w:rPr>
              <w:t>）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3/2</w:t>
            </w: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三等奖</w:t>
            </w:r>
          </w:p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团队/个人</w:t>
            </w:r>
            <w:r>
              <w:rPr>
                <w:rFonts w:hint="eastAsia" w:hAnsi="宋体"/>
                <w:szCs w:val="21"/>
                <w:lang w:eastAsia="zh-CN"/>
              </w:rPr>
              <w:t>）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2/1</w:t>
            </w: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省</w:t>
            </w:r>
            <w:r>
              <w:rPr>
                <w:rFonts w:hint="eastAsia" w:hAnsi="宋体"/>
                <w:szCs w:val="21"/>
                <w:lang w:val="en-US" w:eastAsia="zh-CN"/>
              </w:rPr>
              <w:t>厅</w:t>
            </w:r>
            <w:r>
              <w:rPr>
                <w:rFonts w:hAnsi="宋体"/>
                <w:szCs w:val="21"/>
              </w:rPr>
              <w:t>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一等奖</w:t>
            </w:r>
          </w:p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团队/个人</w:t>
            </w:r>
            <w:r>
              <w:rPr>
                <w:rFonts w:hint="eastAsia" w:hAnsi="宋体"/>
                <w:szCs w:val="21"/>
                <w:lang w:eastAsia="zh-CN"/>
              </w:rPr>
              <w:t>）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2/1</w:t>
            </w: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二等奖</w:t>
            </w:r>
          </w:p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团队/个人</w:t>
            </w:r>
            <w:r>
              <w:rPr>
                <w:rFonts w:hint="eastAsia" w:hAnsi="宋体"/>
                <w:szCs w:val="21"/>
                <w:lang w:eastAsia="zh-CN"/>
              </w:rPr>
              <w:t>）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1.2/0.6</w:t>
            </w:r>
          </w:p>
        </w:tc>
        <w:tc>
          <w:tcPr>
            <w:tcW w:w="222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三等奖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团队/个人</w:t>
            </w:r>
            <w:r>
              <w:rPr>
                <w:rFonts w:hint="eastAsia" w:hAnsi="宋体"/>
                <w:szCs w:val="21"/>
                <w:lang w:eastAsia="zh-CN"/>
              </w:rPr>
              <w:t>）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0.6/0.3</w:t>
            </w:r>
          </w:p>
        </w:tc>
        <w:tc>
          <w:tcPr>
            <w:tcW w:w="222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Ansi="宋体"/>
                <w:szCs w:val="21"/>
              </w:rPr>
              <w:t>市</w:t>
            </w:r>
            <w:r>
              <w:rPr>
                <w:rFonts w:hint="eastAsia" w:hAnsi="宋体"/>
                <w:szCs w:val="21"/>
                <w:lang w:val="en-US" w:eastAsia="zh-CN"/>
              </w:rPr>
              <w:t>局</w:t>
            </w:r>
            <w:r>
              <w:rPr>
                <w:rFonts w:hAnsi="宋体"/>
                <w:szCs w:val="21"/>
              </w:rPr>
              <w:t>级</w:t>
            </w:r>
            <w:r>
              <w:rPr>
                <w:rFonts w:hint="eastAsia" w:hAnsi="宋体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教指委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一等奖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团队/个人</w:t>
            </w:r>
            <w:r>
              <w:rPr>
                <w:rFonts w:hint="eastAsia" w:hAnsi="宋体"/>
                <w:szCs w:val="21"/>
                <w:lang w:eastAsia="zh-CN"/>
              </w:rPr>
              <w:t>）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0.6/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222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二等奖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团队/个人</w:t>
            </w:r>
            <w:r>
              <w:rPr>
                <w:rFonts w:hint="eastAsia" w:hAnsi="宋体"/>
                <w:szCs w:val="21"/>
                <w:lang w:eastAsia="zh-CN"/>
              </w:rPr>
              <w:t>）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0.4/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22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三等奖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团队/个人</w:t>
            </w:r>
            <w:r>
              <w:rPr>
                <w:rFonts w:hint="eastAsia" w:hAnsi="宋体"/>
                <w:szCs w:val="21"/>
                <w:lang w:eastAsia="zh-CN"/>
              </w:rPr>
              <w:t>）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0.2/</w:t>
            </w:r>
            <w:r>
              <w:rPr>
                <w:szCs w:val="21"/>
              </w:rPr>
              <w:t>0.1</w:t>
            </w:r>
          </w:p>
        </w:tc>
        <w:tc>
          <w:tcPr>
            <w:tcW w:w="222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学会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协会、</w:t>
            </w: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一等奖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  <w:tc>
          <w:tcPr>
            <w:tcW w:w="222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二等奖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222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三等奖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222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restart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荣誉类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国家级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221" w:type="dxa"/>
            <w:vMerge w:val="restart"/>
            <w:noWrap w:val="0"/>
            <w:vAlign w:val="top"/>
          </w:tcPr>
          <w:p>
            <w:pPr>
              <w:bidi w:val="0"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包括组织部、教育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、人力资源社会保障部主导的人才工程、竞赛项目或荣誉标准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省部级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0.8</w:t>
            </w:r>
          </w:p>
        </w:tc>
        <w:tc>
          <w:tcPr>
            <w:tcW w:w="222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市、厅级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0.3</w:t>
            </w:r>
          </w:p>
        </w:tc>
        <w:tc>
          <w:tcPr>
            <w:tcW w:w="222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vMerge w:val="continue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市局级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0.1</w:t>
            </w:r>
          </w:p>
        </w:tc>
        <w:tc>
          <w:tcPr>
            <w:tcW w:w="2221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670" w:type="dxa"/>
            <w:noWrap w:val="0"/>
            <w:tcMar>
              <w:left w:w="20" w:type="dxa"/>
              <w:right w:w="20" w:type="dxa"/>
            </w:tcMar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9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项目奖励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国家、省市级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------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按照“福州软件职业技术学院项目激励分配方案”执行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并报</w:t>
            </w:r>
            <w:r>
              <w:rPr>
                <w:rFonts w:hint="eastAsia"/>
                <w:szCs w:val="21"/>
                <w:lang w:val="en-US" w:eastAsia="zh-CN"/>
              </w:rPr>
              <w:t>董事会审批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第六条  教学奖励的申报。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教学奖励由成果（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含荣誉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所在部门</w:t>
      </w:r>
      <w:r>
        <w:rPr>
          <w:rFonts w:hint="eastAsia" w:ascii="仿宋" w:hAnsi="仿宋" w:eastAsia="仿宋"/>
          <w:sz w:val="32"/>
          <w:szCs w:val="32"/>
        </w:rPr>
        <w:t>提出申请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奖励范围包括项目人员和管理团队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学院（系、部）</w:t>
      </w:r>
      <w:r>
        <w:rPr>
          <w:rFonts w:hint="eastAsia" w:ascii="仿宋" w:hAnsi="仿宋" w:eastAsia="仿宋"/>
          <w:sz w:val="32"/>
          <w:szCs w:val="32"/>
        </w:rPr>
        <w:t>、各部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处、室、中心、馆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负责对本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人员申请的教学奖励进行汇总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初审</w:t>
      </w:r>
      <w:r>
        <w:rPr>
          <w:rFonts w:hint="eastAsia" w:ascii="仿宋" w:hAnsi="仿宋" w:eastAsia="仿宋"/>
          <w:sz w:val="32"/>
          <w:szCs w:val="32"/>
        </w:rPr>
        <w:t>，签署意见后将《福州软件职业技术学院教学成果（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含荣誉</w:t>
      </w:r>
      <w:r>
        <w:rPr>
          <w:rFonts w:hint="eastAsia" w:ascii="仿宋" w:hAnsi="仿宋" w:eastAsia="仿宋"/>
          <w:sz w:val="32"/>
          <w:szCs w:val="32"/>
        </w:rPr>
        <w:t>）奖励审核汇总表》连同相关证明材料报送</w:t>
      </w:r>
      <w:r>
        <w:rPr>
          <w:rFonts w:hint="eastAsia" w:ascii="仿宋" w:hAnsi="仿宋" w:eastAsia="仿宋"/>
          <w:sz w:val="32"/>
          <w:szCs w:val="32"/>
          <w:lang w:eastAsia="zh-CN"/>
        </w:rPr>
        <w:t>教务科研处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第七条  教学奖励的核准。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.教务科研处</w:t>
      </w:r>
      <w:r>
        <w:rPr>
          <w:rFonts w:hint="eastAsia" w:ascii="仿宋" w:hAnsi="仿宋" w:eastAsia="仿宋"/>
          <w:sz w:val="32"/>
          <w:szCs w:val="32"/>
        </w:rPr>
        <w:t>会同有关部门对申报材料进行审核，提出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/>
          <w:sz w:val="32"/>
          <w:szCs w:val="32"/>
        </w:rPr>
        <w:t>意见。对其中有争议的成果（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含荣誉</w:t>
      </w:r>
      <w:r>
        <w:rPr>
          <w:rFonts w:hint="eastAsia" w:ascii="仿宋" w:hAnsi="仿宋" w:eastAsia="仿宋"/>
          <w:sz w:val="32"/>
          <w:szCs w:val="32"/>
        </w:rPr>
        <w:t>），提交学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/>
          <w:sz w:val="32"/>
          <w:szCs w:val="32"/>
        </w:rPr>
        <w:t>研究裁定。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2.教务科研处汇总审核后提交校务会讨论后，报董事会审批。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第八条  各项奖励均以文件或证书原件为依据，对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已获得上级奖励或</w:t>
      </w:r>
      <w:r>
        <w:rPr>
          <w:rFonts w:hint="eastAsia" w:ascii="仿宋" w:hAnsi="仿宋" w:eastAsia="仿宋"/>
          <w:sz w:val="32"/>
          <w:szCs w:val="32"/>
        </w:rPr>
        <w:t>重复获奖的按照最高标准进行奖励，不重复奖励。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第九条  奖金由成果（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含荣誉</w:t>
      </w:r>
      <w:r>
        <w:rPr>
          <w:rFonts w:hint="eastAsia" w:ascii="仿宋" w:hAnsi="仿宋" w:eastAsia="仿宋"/>
          <w:sz w:val="32"/>
          <w:szCs w:val="32"/>
        </w:rPr>
        <w:t>）负责人（第一完成人）负责制定分配方案，报学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/>
          <w:sz w:val="32"/>
          <w:szCs w:val="32"/>
        </w:rPr>
        <w:t>批准后，由财务处进行发放。涉及税收问题按国家相关法规办理。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第十条  教学奖励每年集中申报、核准、颁发一次，所需经费在学院年度预算中单独列支。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第十一条  本办法由</w:t>
      </w:r>
      <w:r>
        <w:rPr>
          <w:rFonts w:hint="eastAsia" w:ascii="仿宋" w:hAnsi="仿宋" w:eastAsia="仿宋"/>
          <w:sz w:val="32"/>
          <w:szCs w:val="32"/>
          <w:lang w:eastAsia="zh-CN"/>
        </w:rPr>
        <w:t>教务科研处</w:t>
      </w:r>
      <w:r>
        <w:rPr>
          <w:rFonts w:hint="eastAsia" w:ascii="仿宋" w:hAnsi="仿宋" w:eastAsia="仿宋"/>
          <w:sz w:val="32"/>
          <w:szCs w:val="32"/>
        </w:rPr>
        <w:t>负责解释，未尽事宜由</w:t>
      </w:r>
      <w:r>
        <w:rPr>
          <w:rFonts w:hint="eastAsia" w:ascii="仿宋" w:hAnsi="仿宋" w:eastAsia="仿宋"/>
          <w:sz w:val="32"/>
          <w:szCs w:val="32"/>
          <w:lang w:eastAsia="zh-CN"/>
        </w:rPr>
        <w:t>教务科研处</w:t>
      </w:r>
      <w:r>
        <w:rPr>
          <w:rFonts w:hint="eastAsia" w:ascii="仿宋" w:hAnsi="仿宋" w:eastAsia="仿宋"/>
          <w:sz w:val="32"/>
          <w:szCs w:val="32"/>
        </w:rPr>
        <w:t>提交学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/>
          <w:sz w:val="32"/>
          <w:szCs w:val="32"/>
        </w:rPr>
        <w:t>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第十二条  本办法自20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月1日起执行。原有规定与本办法不一致的，以本办法为准。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福州软件职业技术学院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2021年9月21日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GI2ZWY5YzM0ZjE5N2Q1NmM3N2M4MjExMDliYjgifQ=="/>
  </w:docVars>
  <w:rsids>
    <w:rsidRoot w:val="0072155E"/>
    <w:rsid w:val="00017F4B"/>
    <w:rsid w:val="00031A69"/>
    <w:rsid w:val="0003366B"/>
    <w:rsid w:val="000D049E"/>
    <w:rsid w:val="00117D4E"/>
    <w:rsid w:val="001546BD"/>
    <w:rsid w:val="001729AB"/>
    <w:rsid w:val="00180261"/>
    <w:rsid w:val="001A7CCB"/>
    <w:rsid w:val="001E3727"/>
    <w:rsid w:val="00237382"/>
    <w:rsid w:val="002513C2"/>
    <w:rsid w:val="002B6B38"/>
    <w:rsid w:val="002D5C75"/>
    <w:rsid w:val="00391BA6"/>
    <w:rsid w:val="003D6DB1"/>
    <w:rsid w:val="004027F4"/>
    <w:rsid w:val="00407130"/>
    <w:rsid w:val="00495364"/>
    <w:rsid w:val="004A3942"/>
    <w:rsid w:val="0051332E"/>
    <w:rsid w:val="0058200D"/>
    <w:rsid w:val="005D43FA"/>
    <w:rsid w:val="006234A4"/>
    <w:rsid w:val="006337C4"/>
    <w:rsid w:val="00660145"/>
    <w:rsid w:val="00674049"/>
    <w:rsid w:val="006A5A34"/>
    <w:rsid w:val="006C636C"/>
    <w:rsid w:val="006D51AF"/>
    <w:rsid w:val="006D57BC"/>
    <w:rsid w:val="00715123"/>
    <w:rsid w:val="0072155E"/>
    <w:rsid w:val="007501D0"/>
    <w:rsid w:val="007A7C54"/>
    <w:rsid w:val="007D002D"/>
    <w:rsid w:val="007F30E6"/>
    <w:rsid w:val="007F5DB9"/>
    <w:rsid w:val="008408C6"/>
    <w:rsid w:val="008547E2"/>
    <w:rsid w:val="00894F31"/>
    <w:rsid w:val="008D0E6B"/>
    <w:rsid w:val="008E3196"/>
    <w:rsid w:val="008E4678"/>
    <w:rsid w:val="00906074"/>
    <w:rsid w:val="0093273C"/>
    <w:rsid w:val="00965C06"/>
    <w:rsid w:val="009B2217"/>
    <w:rsid w:val="00A031E2"/>
    <w:rsid w:val="00A26376"/>
    <w:rsid w:val="00A400D9"/>
    <w:rsid w:val="00A4032D"/>
    <w:rsid w:val="00AD277A"/>
    <w:rsid w:val="00AE13F9"/>
    <w:rsid w:val="00B11C8D"/>
    <w:rsid w:val="00B33804"/>
    <w:rsid w:val="00B42804"/>
    <w:rsid w:val="00B670DB"/>
    <w:rsid w:val="00BA4CA6"/>
    <w:rsid w:val="00BE63F0"/>
    <w:rsid w:val="00C1268F"/>
    <w:rsid w:val="00C32233"/>
    <w:rsid w:val="00C37E01"/>
    <w:rsid w:val="00C70EE5"/>
    <w:rsid w:val="00C769C5"/>
    <w:rsid w:val="00C9150E"/>
    <w:rsid w:val="00CD68EA"/>
    <w:rsid w:val="00D105BF"/>
    <w:rsid w:val="00D35BE4"/>
    <w:rsid w:val="00D455B6"/>
    <w:rsid w:val="00D957E4"/>
    <w:rsid w:val="00DC2DBB"/>
    <w:rsid w:val="00E27802"/>
    <w:rsid w:val="00EC2653"/>
    <w:rsid w:val="00EE099C"/>
    <w:rsid w:val="00F00652"/>
    <w:rsid w:val="080D27A0"/>
    <w:rsid w:val="08197BC9"/>
    <w:rsid w:val="09023B4B"/>
    <w:rsid w:val="0BA3253B"/>
    <w:rsid w:val="0DA61D74"/>
    <w:rsid w:val="0EB10F8F"/>
    <w:rsid w:val="107D221F"/>
    <w:rsid w:val="111614E6"/>
    <w:rsid w:val="11936B05"/>
    <w:rsid w:val="11E76750"/>
    <w:rsid w:val="12AD0B41"/>
    <w:rsid w:val="12F566FB"/>
    <w:rsid w:val="19753A1D"/>
    <w:rsid w:val="1C190A0A"/>
    <w:rsid w:val="23915525"/>
    <w:rsid w:val="24603732"/>
    <w:rsid w:val="252F0A06"/>
    <w:rsid w:val="258E5F50"/>
    <w:rsid w:val="25C554B8"/>
    <w:rsid w:val="274F1E99"/>
    <w:rsid w:val="2FF761BC"/>
    <w:rsid w:val="36A55AF6"/>
    <w:rsid w:val="386C62C1"/>
    <w:rsid w:val="39B63927"/>
    <w:rsid w:val="3EE202F7"/>
    <w:rsid w:val="3F9100F9"/>
    <w:rsid w:val="44D10E51"/>
    <w:rsid w:val="45E90122"/>
    <w:rsid w:val="492F6D45"/>
    <w:rsid w:val="4F717129"/>
    <w:rsid w:val="50407A27"/>
    <w:rsid w:val="53441D90"/>
    <w:rsid w:val="567F1B22"/>
    <w:rsid w:val="586E7998"/>
    <w:rsid w:val="5D7E4700"/>
    <w:rsid w:val="61853758"/>
    <w:rsid w:val="61BD1AE0"/>
    <w:rsid w:val="62A876EB"/>
    <w:rsid w:val="64B62C52"/>
    <w:rsid w:val="68B759C1"/>
    <w:rsid w:val="70BD4E50"/>
    <w:rsid w:val="712B3D4C"/>
    <w:rsid w:val="716B0476"/>
    <w:rsid w:val="72696EE9"/>
    <w:rsid w:val="73180A80"/>
    <w:rsid w:val="74811BD9"/>
    <w:rsid w:val="7AD276C9"/>
    <w:rsid w:val="7B24036F"/>
    <w:rsid w:val="7EEF3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paragraph" w:customStyle="1" w:styleId="10">
    <w:name w:val="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深圳市斯尔顿科技有限公司</Company>
  <Pages>4</Pages>
  <Words>1448</Words>
  <Characters>1616</Characters>
  <Lines>15</Lines>
  <Paragraphs>4</Paragraphs>
  <TotalTime>53</TotalTime>
  <ScaleCrop>false</ScaleCrop>
  <LinksUpToDate>false</LinksUpToDate>
  <CharactersWithSpaces>1648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2017-06-14T09:47:00Z</dcterms:created>
  <dc:creator>教务处</dc:creator>
  <cp:lastModifiedBy>久 伴</cp:lastModifiedBy>
  <cp:lastPrinted>2017-06-14T09:56:00Z</cp:lastPrinted>
  <dcterms:modified xsi:type="dcterms:W3CDTF">2022-11-29T03:17:23Z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DB773E1D3D8540B8B956963DBE561B22</vt:lpwstr>
  </property>
</Properties>
</file>