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cs="宋体"/>
          <w:b/>
          <w:bCs/>
          <w:color w:val="FF0000"/>
          <w:w w:val="90"/>
          <w:sz w:val="72"/>
          <w:szCs w:val="72"/>
        </w:rPr>
      </w:pPr>
      <w:bookmarkStart w:id="1" w:name="_GoBack"/>
      <w:bookmarkEnd w:id="1"/>
    </w:p>
    <w:p>
      <w:pPr>
        <w:jc w:val="distribute"/>
        <w:rPr>
          <w:rFonts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p>
      <w:pPr>
        <w:spacing w:line="640" w:lineRule="exact"/>
        <w:jc w:val="center"/>
        <w:rPr>
          <w:rFonts w:ascii="方正小标宋简体" w:eastAsia="方正小标宋简体"/>
          <w:sz w:val="62"/>
        </w:rPr>
      </w:pPr>
      <w:r>
        <w:rPr>
          <w:rFonts w:hint="eastAsia" w:ascii="仿宋_GB2312" w:hAnsi="黑体" w:eastAsia="仿宋_GB2312"/>
          <w:sz w:val="32"/>
          <w:szCs w:val="32"/>
        </w:rPr>
        <w:t>福软教〔</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黑体" w:eastAsia="仿宋_GB2312"/>
          <w:sz w:val="32"/>
          <w:szCs w:val="32"/>
          <w:lang w:val="en-US" w:eastAsia="zh-CN"/>
        </w:rPr>
        <w:t>50</w:t>
      </w:r>
      <w:r>
        <w:rPr>
          <w:rFonts w:hint="eastAsia" w:ascii="仿宋_GB2312" w:hAnsi="黑体" w:eastAsia="仿宋_GB2312"/>
          <w:sz w:val="32"/>
          <w:szCs w:val="32"/>
        </w:rPr>
        <w:t>号</w:t>
      </w:r>
    </w:p>
    <w:p>
      <w:pPr>
        <w:rPr>
          <w:rFonts w:ascii="宋体" w:hAnsi="宋体" w:eastAsia="宋体" w:cs="Times New Roman"/>
          <w:b/>
          <w:sz w:val="44"/>
          <w:szCs w:val="44"/>
        </w:rPr>
      </w:pPr>
      <w:r>
        <w:rPr>
          <w:rFonts w:hint="eastAsia" w:ascii="方正小标宋简体" w:hAnsi="宋体" w:eastAsia="方正小标宋简体" w:cs="宋体"/>
          <w:color w:val="333333"/>
          <w:kern w:val="0"/>
          <w:sz w:val="44"/>
          <w:szCs w:val="44"/>
          <w:shd w:val="clear" w:color="auto" w:fill="FFFFFF"/>
          <w:lang w:bidi="ar"/>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19050" r="6985" b="34290"/>
                <wp:wrapNone/>
                <wp:docPr id="1" name="直接连接符 1"/>
                <wp:cNvGraphicFramePr/>
                <a:graphic xmlns:a="http://schemas.openxmlformats.org/drawingml/2006/main">
                  <a:graphicData uri="http://schemas.microsoft.com/office/word/2010/wordprocessingShape">
                    <wps:wsp>
                      <wps:cNvCnPr/>
                      <wps:spPr>
                        <a:xfrm flipV="1">
                          <a:off x="1021080" y="3747770"/>
                          <a:ext cx="6108065" cy="381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qLbHXAAAABwEAAA8AAAAAAAAAAQAgAAAAIgAAAGRy&#10;cy9kb3ducmV2LnhtbFBLAQIUABQAAAAIAIdO4kCRkQMnBgIAAAAEAAAOAAAAAAAAAAEAIAAAACYB&#10;AABkcnMvZTJvRG9jLnhtbFBLBQYAAAAABgAGAFkBAACeBQAAAAA=&#10;">
                <v:fill on="f" focussize="0,0"/>
                <v:stroke weight="3pt" color="#FF0000" joinstyle="round"/>
                <v:imagedata o:title=""/>
                <o:lock v:ext="edit" aspectratio="f"/>
              </v:line>
            </w:pict>
          </mc:Fallback>
        </mc:AlternateContent>
      </w:r>
    </w:p>
    <w:p>
      <w:pPr>
        <w:pStyle w:val="14"/>
        <w:spacing w:after="312"/>
        <w:rPr>
          <w:rFonts w:hint="default"/>
          <w:color w:val="auto"/>
          <w:lang w:val="en-US"/>
        </w:rPr>
      </w:pPr>
      <w:r>
        <w:rPr>
          <w:rFonts w:hint="eastAsia" w:ascii="宋体" w:hAnsi="宋体" w:eastAsia="宋体" w:cs="Times New Roman"/>
          <w:b/>
          <w:sz w:val="44"/>
          <w:szCs w:val="44"/>
          <w:lang w:val="en-US" w:eastAsia="zh-CN"/>
        </w:rPr>
        <w:t>关于印发《</w:t>
      </w:r>
      <w:r>
        <w:rPr>
          <w:rFonts w:hint="eastAsia" w:ascii="宋体" w:hAnsi="宋体" w:eastAsia="宋体" w:cs="Times New Roman"/>
          <w:b/>
          <w:sz w:val="44"/>
          <w:szCs w:val="44"/>
        </w:rPr>
        <w:t>福州软件职业技术学院教材建设与管理办法</w:t>
      </w:r>
      <w:r>
        <w:rPr>
          <w:rFonts w:hint="eastAsia" w:ascii="宋体" w:hAnsi="宋体" w:eastAsia="宋体" w:cs="Times New Roman"/>
          <w:b/>
          <w:sz w:val="44"/>
          <w:szCs w:val="44"/>
          <w:lang w:eastAsia="zh-CN"/>
        </w:rPr>
        <w:t>（</w:t>
      </w:r>
      <w:r>
        <w:rPr>
          <w:rFonts w:hint="eastAsia" w:ascii="宋体" w:hAnsi="宋体" w:eastAsia="宋体" w:cs="Times New Roman"/>
          <w:b/>
          <w:sz w:val="44"/>
          <w:szCs w:val="44"/>
          <w:lang w:val="en-US" w:eastAsia="zh-CN"/>
        </w:rPr>
        <w:t>修订版</w:t>
      </w:r>
      <w:r>
        <w:rPr>
          <w:rFonts w:hint="eastAsia" w:ascii="宋体" w:hAnsi="宋体" w:eastAsia="宋体" w:cs="Times New Roman"/>
          <w:b/>
          <w:sz w:val="44"/>
          <w:szCs w:val="44"/>
          <w:lang w:eastAsia="zh-CN"/>
        </w:rPr>
        <w:t>）</w:t>
      </w:r>
      <w:r>
        <w:rPr>
          <w:rFonts w:hint="eastAsia" w:ascii="宋体" w:hAnsi="宋体" w:eastAsia="宋体" w:cs="Times New Roman"/>
          <w:b/>
          <w:sz w:val="44"/>
          <w:szCs w:val="44"/>
          <w:lang w:val="en-US" w:eastAsia="zh-CN"/>
        </w:rPr>
        <w:t>》的通知</w:t>
      </w:r>
    </w:p>
    <w:p>
      <w:pPr>
        <w:spacing w:line="360" w:lineRule="auto"/>
        <w:rPr>
          <w:rFonts w:ascii="仿宋" w:hAnsi="仿宋" w:eastAsia="仿宋" w:cs="Times New Roman"/>
          <w:sz w:val="32"/>
          <w:szCs w:val="32"/>
          <w:shd w:val="clear" w:color="auto" w:fill="FFFFFF"/>
        </w:rPr>
      </w:pPr>
      <w:r>
        <w:rPr>
          <w:rFonts w:hint="eastAsia" w:ascii="仿宋" w:hAnsi="仿宋" w:eastAsia="仿宋" w:cs="Times New Roman"/>
          <w:sz w:val="32"/>
          <w:szCs w:val="32"/>
          <w:shd w:val="clear" w:color="auto" w:fill="FFFFFF"/>
        </w:rPr>
        <w:t>各学院（部）</w:t>
      </w:r>
      <w:r>
        <w:rPr>
          <w:rFonts w:hint="eastAsia" w:ascii="仿宋" w:hAnsi="仿宋" w:eastAsia="仿宋" w:cs="Times New Roman"/>
          <w:sz w:val="32"/>
          <w:szCs w:val="32"/>
          <w:shd w:val="clear" w:color="auto" w:fill="FFFFFF"/>
          <w:lang w:eastAsia="zh-CN"/>
        </w:rPr>
        <w:t>，</w:t>
      </w:r>
      <w:r>
        <w:rPr>
          <w:rFonts w:hint="eastAsia" w:ascii="仿宋" w:hAnsi="仿宋" w:eastAsia="仿宋" w:cs="Times New Roman"/>
          <w:sz w:val="32"/>
          <w:szCs w:val="32"/>
          <w:shd w:val="clear" w:color="auto" w:fill="FFFFFF"/>
          <w:lang w:val="en-US" w:eastAsia="zh-CN"/>
        </w:rPr>
        <w:t>各部（处、室、中心、馆）</w:t>
      </w:r>
      <w:r>
        <w:rPr>
          <w:rFonts w:hint="eastAsia" w:ascii="仿宋" w:hAnsi="仿宋" w:eastAsia="仿宋" w:cs="Times New Roman"/>
          <w:sz w:val="32"/>
          <w:szCs w:val="32"/>
          <w:shd w:val="clear" w:color="auto" w:fill="FFFFFF"/>
        </w:rPr>
        <w:t>：</w:t>
      </w:r>
    </w:p>
    <w:p>
      <w:pPr>
        <w:pStyle w:val="15"/>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color w:val="000000"/>
          <w:sz w:val="32"/>
          <w:szCs w:val="32"/>
          <w:lang w:val="en-US" w:eastAsia="zh-CN"/>
        </w:rPr>
        <w:t>现将</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福州软件职业技术学院教材建设与管理办法</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修订版</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》印发给你们，请遵照执行。</w:t>
      </w:r>
    </w:p>
    <w:p>
      <w:pPr>
        <w:pStyle w:val="15"/>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p>
    <w:p>
      <w:pPr>
        <w:widowControl/>
        <w:spacing w:line="360" w:lineRule="auto"/>
        <w:ind w:right="1680" w:rightChars="800" w:firstLine="640" w:firstLineChars="200"/>
        <w:jc w:val="right"/>
        <w:rPr>
          <w:rFonts w:ascii="仿宋" w:hAnsi="仿宋" w:eastAsia="仿宋" w:cs="宋体"/>
          <w:kern w:val="0"/>
          <w:sz w:val="32"/>
          <w:szCs w:val="32"/>
        </w:rPr>
      </w:pPr>
      <w:r>
        <w:rPr>
          <w:rFonts w:hint="eastAsia" w:ascii="仿宋_GB2312" w:eastAsia="仿宋_GB2312"/>
          <w:sz w:val="32"/>
          <w:szCs w:val="32"/>
        </w:rPr>
        <w:t>福州软件职业技术学院教务科研处</w:t>
      </w:r>
    </w:p>
    <w:p>
      <w:pPr>
        <w:widowControl/>
        <w:spacing w:line="360" w:lineRule="auto"/>
        <w:ind w:right="1680" w:rightChars="800"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 xml:space="preserve">         2022年</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日</w:t>
      </w:r>
    </w:p>
    <w:p>
      <w:pPr>
        <w:widowControl/>
        <w:spacing w:line="360" w:lineRule="auto"/>
        <w:ind w:right="1680" w:rightChars="800" w:firstLine="640" w:firstLineChars="200"/>
        <w:jc w:val="right"/>
        <w:rPr>
          <w:rFonts w:ascii="仿宋" w:hAnsi="仿宋" w:eastAsia="仿宋" w:cs="宋体"/>
          <w:kern w:val="0"/>
          <w:sz w:val="32"/>
          <w:szCs w:val="32"/>
        </w:rPr>
      </w:pPr>
    </w:p>
    <w:p>
      <w:pPr>
        <w:widowControl/>
        <w:spacing w:line="360" w:lineRule="auto"/>
        <w:ind w:right="1680" w:rightChars="800"/>
        <w:rPr>
          <w:rFonts w:ascii="仿宋" w:hAnsi="仿宋" w:eastAsia="仿宋" w:cs="宋体"/>
          <w:kern w:val="0"/>
          <w:sz w:val="32"/>
          <w:szCs w:val="32"/>
        </w:rPr>
      </w:pPr>
    </w:p>
    <w:tbl>
      <w:tblPr>
        <w:tblStyle w:val="9"/>
        <w:tblpPr w:leftFromText="180" w:rightFromText="180" w:vertAnchor="page" w:horzAnchor="page" w:tblpX="1355" w:tblpY="14497"/>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814"/>
        <w:gridCol w:w="42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trPr>
        <w:tc>
          <w:tcPr>
            <w:tcW w:w="4814" w:type="dxa"/>
            <w:tcBorders>
              <w:tl2br w:val="nil"/>
              <w:tr2bl w:val="nil"/>
            </w:tcBorders>
            <w:vAlign w:val="bottom"/>
          </w:tcPr>
          <w:p>
            <w:pPr>
              <w:spacing w:after="100" w:line="580" w:lineRule="exact"/>
              <w:ind w:right="136" w:rightChars="65" w:firstLine="280" w:firstLineChars="100"/>
              <w:rPr>
                <w:rFonts w:ascii="仿宋_GB2312" w:hAnsi="仿宋" w:eastAsia="仿宋_GB2312"/>
                <w:sz w:val="28"/>
              </w:rPr>
            </w:pPr>
            <w:r>
              <w:rPr>
                <w:rFonts w:hint="eastAsia" w:ascii="仿宋_GB2312" w:hAnsi="仿宋" w:eastAsia="仿宋_GB2312"/>
                <w:sz w:val="28"/>
              </w:rPr>
              <w:t>福州软件职业技术学院教务科研处</w:t>
            </w:r>
          </w:p>
        </w:tc>
        <w:tc>
          <w:tcPr>
            <w:tcW w:w="4216" w:type="dxa"/>
            <w:tcBorders>
              <w:tl2br w:val="nil"/>
              <w:tr2bl w:val="nil"/>
            </w:tcBorders>
            <w:vAlign w:val="center"/>
          </w:tcPr>
          <w:p>
            <w:pPr>
              <w:spacing w:after="100" w:afterAutospacing="1" w:line="580" w:lineRule="exact"/>
              <w:ind w:right="136" w:rightChars="65" w:firstLine="840" w:firstLineChars="300"/>
              <w:jc w:val="center"/>
              <w:textAlignment w:val="bottom"/>
              <w:rPr>
                <w:rFonts w:ascii="仿宋_GB2312" w:eastAsia="仿宋_GB2312"/>
              </w:rPr>
            </w:pPr>
            <w:r>
              <w:rPr>
                <w:rFonts w:hint="eastAsia" w:ascii="仿宋_GB2312" w:hAnsi="仿宋" w:eastAsia="仿宋_GB2312" w:cs="仿宋_GB2312"/>
                <w:sz w:val="28"/>
              </w:rPr>
              <w:t xml:space="preserve">   2022年</w:t>
            </w:r>
            <w:r>
              <w:rPr>
                <w:rFonts w:hint="eastAsia" w:ascii="仿宋_GB2312" w:hAnsi="仿宋" w:eastAsia="仿宋_GB2312" w:cs="仿宋_GB2312"/>
                <w:sz w:val="28"/>
                <w:lang w:val="en-US" w:eastAsia="zh-CN"/>
              </w:rPr>
              <w:t>10</w:t>
            </w:r>
            <w:r>
              <w:rPr>
                <w:rFonts w:hint="eastAsia" w:ascii="仿宋_GB2312" w:hAnsi="仿宋" w:eastAsia="仿宋_GB2312" w:cs="仿宋_GB2312"/>
                <w:sz w:val="28"/>
              </w:rPr>
              <w:t>月</w:t>
            </w:r>
            <w:r>
              <w:rPr>
                <w:rFonts w:hint="eastAsia" w:ascii="仿宋_GB2312" w:hAnsi="仿宋" w:eastAsia="仿宋_GB2312" w:cs="仿宋_GB2312"/>
                <w:sz w:val="28"/>
                <w:lang w:val="en-US" w:eastAsia="zh-CN"/>
              </w:rPr>
              <w:t>12</w:t>
            </w:r>
            <w:r>
              <w:rPr>
                <w:rFonts w:hint="eastAsia" w:ascii="仿宋_GB2312" w:hAnsi="仿宋" w:eastAsia="仿宋_GB2312" w:cs="仿宋_GB2312"/>
                <w:sz w:val="28"/>
              </w:rPr>
              <w:t>日 印</w:t>
            </w:r>
          </w:p>
        </w:tc>
      </w:tr>
    </w:tbl>
    <w:p>
      <w:pPr>
        <w:pStyle w:val="15"/>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sz w:val="32"/>
          <w:szCs w:val="32"/>
          <w:lang w:val="en-US" w:eastAsia="zh-CN"/>
        </w:rPr>
      </w:pPr>
    </w:p>
    <w:p>
      <w:pPr>
        <w:pStyle w:val="15"/>
        <w:rPr>
          <w:rFonts w:hint="eastAsia" w:ascii="黑体" w:hAnsi="黑体" w:eastAsia="黑体" w:cs="黑体"/>
          <w:color w:val="auto"/>
          <w:sz w:val="32"/>
          <w:szCs w:val="32"/>
        </w:rPr>
      </w:pPr>
    </w:p>
    <w:p>
      <w:pPr>
        <w:pStyle w:val="15"/>
        <w:rPr>
          <w:rFonts w:hint="eastAsia" w:ascii="黑体" w:hAnsi="黑体" w:eastAsia="黑体" w:cs="黑体"/>
          <w:color w:val="auto"/>
          <w:sz w:val="32"/>
          <w:szCs w:val="32"/>
        </w:rPr>
      </w:pPr>
    </w:p>
    <w:p>
      <w:pPr>
        <w:pStyle w:val="15"/>
        <w:jc w:val="both"/>
        <w:rPr>
          <w:rFonts w:hint="eastAsia" w:ascii="黑体" w:hAnsi="黑体" w:eastAsia="黑体" w:cs="黑体"/>
          <w:color w:val="auto"/>
          <w:sz w:val="32"/>
          <w:szCs w:val="32"/>
        </w:rPr>
      </w:pPr>
    </w:p>
    <w:p>
      <w:pPr>
        <w:pStyle w:val="4"/>
        <w:autoSpaceDE w:val="0"/>
        <w:autoSpaceDN w:val="0"/>
        <w:spacing w:before="137" w:after="0" w:line="240" w:lineRule="auto"/>
        <w:ind w:right="0"/>
        <w:rPr>
          <w:rFonts w:hint="eastAsia"/>
          <w:kern w:val="0"/>
          <w:lang w:eastAsia="en-US"/>
        </w:rPr>
      </w:pPr>
    </w:p>
    <w:p>
      <w:pPr>
        <w:pStyle w:val="4"/>
        <w:autoSpaceDE w:val="0"/>
        <w:autoSpaceDN w:val="0"/>
        <w:spacing w:before="137" w:after="0" w:line="240" w:lineRule="auto"/>
        <w:ind w:right="0"/>
        <w:rPr>
          <w:rFonts w:hint="eastAsia" w:eastAsia="宋体"/>
          <w:kern w:val="0"/>
          <w:lang w:eastAsia="zh-CN"/>
        </w:rPr>
      </w:pPr>
      <w:r>
        <w:rPr>
          <w:rFonts w:hint="eastAsia"/>
          <w:kern w:val="0"/>
          <w:lang w:eastAsia="en-US"/>
        </w:rPr>
        <w:t>福州软件职业技术学院教材建设与管理办法</w:t>
      </w:r>
      <w:r>
        <w:rPr>
          <w:rFonts w:hint="eastAsia"/>
          <w:kern w:val="0"/>
          <w:lang w:eastAsia="zh-CN"/>
        </w:rPr>
        <w:t>（</w:t>
      </w:r>
      <w:r>
        <w:rPr>
          <w:rFonts w:hint="eastAsia"/>
          <w:kern w:val="0"/>
          <w:lang w:val="en-US" w:eastAsia="zh-CN"/>
        </w:rPr>
        <w:t>修订版</w:t>
      </w:r>
      <w:r>
        <w:rPr>
          <w:rFonts w:hint="eastAsia"/>
          <w:kern w:val="0"/>
          <w:lang w:eastAsia="zh-CN"/>
        </w:rPr>
        <w:t>）</w:t>
      </w:r>
    </w:p>
    <w:p>
      <w:pPr>
        <w:pStyle w:val="4"/>
        <w:autoSpaceDE w:val="0"/>
        <w:autoSpaceDN w:val="0"/>
        <w:spacing w:before="137" w:after="0" w:line="240" w:lineRule="auto"/>
        <w:ind w:right="0"/>
        <w:rPr>
          <w:lang w:eastAsia="en-US"/>
        </w:rPr>
      </w:pPr>
    </w:p>
    <w:p>
      <w:pPr>
        <w:pStyle w:val="5"/>
        <w:tabs>
          <w:tab w:val="left" w:pos="1283"/>
        </w:tabs>
        <w:autoSpaceDE w:val="0"/>
        <w:autoSpaceDN w:val="0"/>
        <w:spacing w:before="0" w:after="0" w:line="240" w:lineRule="auto"/>
        <w:ind w:left="0" w:right="0"/>
        <w:rPr>
          <w:kern w:val="0"/>
          <w:lang w:eastAsia="en-US"/>
        </w:rPr>
      </w:pPr>
      <w:r>
        <w:rPr>
          <w:rFonts w:hint="eastAsia"/>
          <w:kern w:val="0"/>
          <w:lang w:eastAsia="en-US"/>
        </w:rPr>
        <w:t>第</w:t>
      </w:r>
      <w:r>
        <w:rPr>
          <w:rFonts w:hint="eastAsia"/>
          <w:kern w:val="0"/>
          <w:lang w:val="en-US" w:eastAsia="en-US"/>
        </w:rPr>
        <w:t>一章</w:t>
      </w:r>
      <w:bookmarkStart w:id="0" w:name="_Toc11673"/>
      <w:r>
        <w:rPr>
          <w:rFonts w:hint="eastAsia"/>
          <w:kern w:val="0"/>
          <w:lang w:val="en-US" w:eastAsia="en-US"/>
        </w:rPr>
        <w:t xml:space="preserve">  总则</w:t>
      </w:r>
      <w:bookmarkEnd w:id="0"/>
    </w:p>
    <w:p>
      <w:pPr>
        <w:pStyle w:val="16"/>
        <w:rPr>
          <w:rFonts w:hint="eastAsia" w:hAnsi="Times New Roman"/>
          <w:color w:val="auto"/>
        </w:rPr>
      </w:pPr>
      <w:r>
        <w:rPr>
          <w:rFonts w:hint="eastAsia" w:ascii="仿宋" w:hAnsi="仿宋" w:eastAsia="仿宋" w:cs="仿宋"/>
          <w:b/>
          <w:color w:val="333333"/>
          <w:spacing w:val="2"/>
          <w:w w:val="99"/>
          <w:kern w:val="0"/>
          <w:sz w:val="32"/>
          <w:szCs w:val="32"/>
          <w:lang w:val="en-US" w:eastAsia="en-US" w:bidi="ar-SA"/>
        </w:rPr>
        <w:t>第一条</w:t>
      </w:r>
      <w:r>
        <w:rPr>
          <w:rFonts w:hint="eastAsia"/>
          <w:b/>
          <w:color w:val="auto"/>
          <w:lang w:val="en-US" w:eastAsia="zh-CN"/>
        </w:rPr>
        <w:t xml:space="preserve">  </w:t>
      </w:r>
      <w:r>
        <w:rPr>
          <w:rFonts w:hint="eastAsia" w:ascii="仿宋" w:hAnsi="仿宋" w:eastAsia="仿宋" w:cs="仿宋"/>
          <w:color w:val="333333"/>
          <w:w w:val="99"/>
          <w:kern w:val="0"/>
          <w:sz w:val="32"/>
          <w:szCs w:val="32"/>
          <w:lang w:val="en-US" w:eastAsia="en-US" w:bidi="ar-SA"/>
        </w:rPr>
        <w:t>为贯彻党中央、国务院关于加强和改进新形势下大中小学教材建设的意见，全面加强党的领导，落实国家事权，规范和加强教材管理，打造精品教材，切实提高教材建设</w:t>
      </w:r>
      <w:r>
        <w:rPr>
          <w:rFonts w:hint="eastAsia" w:ascii="仿宋" w:hAnsi="仿宋" w:eastAsia="仿宋" w:cs="仿宋"/>
          <w:color w:val="333333"/>
          <w:w w:val="99"/>
          <w:kern w:val="0"/>
          <w:sz w:val="32"/>
          <w:szCs w:val="32"/>
          <w:lang w:val="en-US" w:eastAsia="zh-CN" w:bidi="ar-SA"/>
        </w:rPr>
        <w:t>和选用</w:t>
      </w:r>
      <w:r>
        <w:rPr>
          <w:rFonts w:hint="eastAsia" w:ascii="仿宋" w:hAnsi="仿宋" w:eastAsia="仿宋" w:cs="仿宋"/>
          <w:color w:val="333333"/>
          <w:w w:val="99"/>
          <w:kern w:val="0"/>
          <w:sz w:val="32"/>
          <w:szCs w:val="32"/>
          <w:lang w:val="en-US" w:eastAsia="en-US" w:bidi="ar-SA"/>
        </w:rPr>
        <w:t>水平，根据《中华人民共和国教育法》《中华人民共和国职业教育法》《中华人民共和国高等教育法》</w:t>
      </w:r>
      <w:r>
        <w:rPr>
          <w:rFonts w:hint="eastAsia" w:ascii="仿宋" w:hAnsi="仿宋" w:eastAsia="仿宋" w:cs="仿宋"/>
          <w:color w:val="333333"/>
          <w:w w:val="99"/>
          <w:kern w:val="0"/>
          <w:sz w:val="32"/>
          <w:szCs w:val="32"/>
          <w:lang w:val="en-US" w:eastAsia="zh-CN" w:bidi="ar-SA"/>
        </w:rPr>
        <w:t>和《</w:t>
      </w:r>
      <w:r>
        <w:rPr>
          <w:rFonts w:hint="eastAsia" w:ascii="仿宋" w:hAnsi="仿宋" w:eastAsia="仿宋" w:cs="仿宋"/>
          <w:color w:val="333333"/>
          <w:w w:val="99"/>
          <w:kern w:val="0"/>
          <w:sz w:val="32"/>
          <w:szCs w:val="32"/>
          <w:lang w:val="en-US" w:eastAsia="en-US" w:bidi="ar-SA"/>
        </w:rPr>
        <w:t>职业院校教材管理办法</w:t>
      </w:r>
      <w:r>
        <w:rPr>
          <w:rFonts w:hint="eastAsia" w:ascii="仿宋" w:hAnsi="仿宋" w:eastAsia="仿宋" w:cs="仿宋"/>
          <w:color w:val="333333"/>
          <w:w w:val="99"/>
          <w:kern w:val="0"/>
          <w:sz w:val="32"/>
          <w:szCs w:val="32"/>
          <w:lang w:val="en-US" w:eastAsia="zh-CN" w:bidi="ar-SA"/>
        </w:rPr>
        <w:t>》</w:t>
      </w:r>
      <w:r>
        <w:rPr>
          <w:rFonts w:hint="eastAsia" w:ascii="仿宋" w:hAnsi="仿宋" w:eastAsia="仿宋" w:cs="仿宋"/>
          <w:color w:val="333333"/>
          <w:w w:val="99"/>
          <w:kern w:val="0"/>
          <w:sz w:val="32"/>
          <w:szCs w:val="32"/>
          <w:lang w:val="en-US" w:eastAsia="en-US" w:bidi="ar-SA"/>
        </w:rPr>
        <w:t>等法律法规，制定本办法。</w:t>
      </w:r>
    </w:p>
    <w:p>
      <w:pPr>
        <w:pStyle w:val="16"/>
        <w:rPr>
          <w:rFonts w:hint="eastAsia" w:ascii="仿宋" w:hAnsi="仿宋" w:eastAsia="仿宋" w:cs="仿宋"/>
          <w:color w:val="333333"/>
          <w:w w:val="99"/>
          <w:kern w:val="0"/>
          <w:sz w:val="32"/>
          <w:szCs w:val="32"/>
          <w:lang w:val="en-US" w:eastAsia="en-US" w:bidi="ar-SA"/>
        </w:rPr>
      </w:pPr>
      <w:r>
        <w:rPr>
          <w:rFonts w:hint="eastAsia" w:ascii="仿宋" w:hAnsi="仿宋" w:eastAsia="仿宋" w:cs="仿宋"/>
          <w:b/>
          <w:color w:val="333333"/>
          <w:kern w:val="0"/>
          <w:sz w:val="32"/>
          <w:szCs w:val="22"/>
          <w:lang w:val="en-US" w:eastAsia="en-US" w:bidi="ar-SA"/>
        </w:rPr>
        <w:t>第二条</w:t>
      </w:r>
      <w:r>
        <w:rPr>
          <w:rFonts w:hint="eastAsia"/>
          <w:b/>
          <w:color w:val="auto"/>
          <w:lang w:val="en-US" w:eastAsia="zh-CN"/>
        </w:rPr>
        <w:t xml:space="preserve">  </w:t>
      </w:r>
      <w:r>
        <w:rPr>
          <w:rFonts w:hint="eastAsia" w:ascii="仿宋" w:hAnsi="仿宋" w:eastAsia="仿宋" w:cs="仿宋"/>
          <w:color w:val="333333"/>
          <w:w w:val="99"/>
          <w:kern w:val="0"/>
          <w:sz w:val="32"/>
          <w:szCs w:val="32"/>
          <w:lang w:val="en-US" w:eastAsia="en-US" w:bidi="ar-SA"/>
        </w:rPr>
        <w:t>本规定所指教材</w:t>
      </w:r>
      <w:r>
        <w:rPr>
          <w:rFonts w:hint="eastAsia" w:ascii="仿宋" w:hAnsi="仿宋" w:eastAsia="仿宋" w:cs="仿宋"/>
          <w:color w:val="333333"/>
          <w:w w:val="99"/>
          <w:kern w:val="0"/>
          <w:sz w:val="32"/>
          <w:szCs w:val="32"/>
          <w:lang w:val="en-US" w:eastAsia="zh-CN" w:bidi="ar-SA"/>
        </w:rPr>
        <w:t>为</w:t>
      </w:r>
      <w:r>
        <w:rPr>
          <w:rFonts w:hint="eastAsia" w:ascii="仿宋" w:hAnsi="仿宋" w:eastAsia="仿宋" w:cs="仿宋"/>
          <w:color w:val="333333"/>
          <w:w w:val="99"/>
          <w:kern w:val="0"/>
          <w:sz w:val="32"/>
          <w:szCs w:val="32"/>
          <w:lang w:val="en-US" w:eastAsia="en-US" w:bidi="ar-SA"/>
        </w:rPr>
        <w:t>课堂和实习实训使用的教学用书，以及作为教材内容组成部分的教学材料（如教材的配套音视频资源、图册等）</w:t>
      </w:r>
      <w:r>
        <w:rPr>
          <w:rFonts w:hint="eastAsia" w:ascii="仿宋" w:hAnsi="仿宋" w:eastAsia="仿宋" w:cs="仿宋"/>
          <w:color w:val="333333"/>
          <w:w w:val="99"/>
          <w:kern w:val="0"/>
          <w:sz w:val="32"/>
          <w:szCs w:val="32"/>
          <w:lang w:val="en-US" w:eastAsia="zh-CN" w:bidi="ar-SA"/>
        </w:rPr>
        <w:t>，</w:t>
      </w:r>
      <w:r>
        <w:rPr>
          <w:rFonts w:hint="eastAsia" w:ascii="仿宋" w:hAnsi="仿宋" w:eastAsia="仿宋" w:cs="仿宋"/>
          <w:color w:val="333333"/>
          <w:w w:val="99"/>
          <w:kern w:val="0"/>
          <w:sz w:val="32"/>
          <w:szCs w:val="32"/>
          <w:lang w:val="en-US" w:eastAsia="en-US" w:bidi="ar-SA"/>
        </w:rPr>
        <w:t>包括印刷出版物和非印刷出版物两部分。印刷出版物主要包括教科书、教学参考书、习题集、案例等文字教材；非印刷出版物主要包括音像教材、多媒体课件、计算机辅助教学软件等电子教材。</w:t>
      </w:r>
    </w:p>
    <w:p>
      <w:pPr>
        <w:pStyle w:val="16"/>
        <w:rPr>
          <w:rFonts w:hint="eastAsia" w:hAnsi="Times New Roman"/>
          <w:color w:val="auto"/>
          <w:lang w:val="en-US" w:eastAsia="zh-CN"/>
        </w:rPr>
      </w:pPr>
      <w:r>
        <w:rPr>
          <w:rFonts w:hint="eastAsia" w:ascii="仿宋" w:hAnsi="仿宋" w:eastAsia="仿宋" w:cs="仿宋"/>
          <w:b/>
          <w:color w:val="333333"/>
          <w:kern w:val="0"/>
          <w:sz w:val="32"/>
          <w:szCs w:val="22"/>
          <w:lang w:val="en-US" w:eastAsia="zh-CN" w:bidi="ar-SA"/>
        </w:rPr>
        <w:t>第三条</w:t>
      </w:r>
      <w:r>
        <w:rPr>
          <w:rFonts w:hint="eastAsia" w:hAnsi="Times New Roman"/>
          <w:color w:val="auto"/>
          <w:lang w:val="en-US" w:eastAsia="zh-CN"/>
        </w:rPr>
        <w:t xml:space="preserve">  </w:t>
      </w:r>
      <w:r>
        <w:rPr>
          <w:rFonts w:hint="default" w:ascii="仿宋" w:hAnsi="仿宋" w:eastAsia="仿宋" w:cs="仿宋"/>
          <w:color w:val="333333"/>
          <w:w w:val="99"/>
          <w:kern w:val="0"/>
          <w:sz w:val="32"/>
          <w:szCs w:val="32"/>
          <w:lang w:val="en-US" w:eastAsia="zh-CN" w:bidi="ar-SA"/>
        </w:rPr>
        <w:t>教材必须体现党和国家意志。坚持马克思主义指导地位，体现马克思主义中国化要求，体现中国和中华民族风格，体现党和国家对教育的基本要求，体现国家和民族基本价值观，体现人类文化知识积累和创新成果。</w:t>
      </w:r>
    </w:p>
    <w:p>
      <w:pPr>
        <w:pStyle w:val="16"/>
        <w:rPr>
          <w:rFonts w:hint="default" w:ascii="仿宋" w:hAnsi="仿宋" w:eastAsia="仿宋" w:cs="仿宋"/>
          <w:color w:val="333333"/>
          <w:w w:val="99"/>
          <w:kern w:val="0"/>
          <w:sz w:val="32"/>
          <w:szCs w:val="32"/>
          <w:lang w:val="en-US" w:eastAsia="zh-CN" w:bidi="ar-SA"/>
        </w:rPr>
      </w:pPr>
      <w:r>
        <w:rPr>
          <w:rFonts w:hint="default" w:ascii="仿宋" w:hAnsi="仿宋" w:eastAsia="仿宋" w:cs="仿宋"/>
          <w:color w:val="333333"/>
          <w:w w:val="99"/>
          <w:kern w:val="0"/>
          <w:sz w:val="32"/>
          <w:szCs w:val="32"/>
          <w:lang w:val="en-US" w:eastAsia="zh-CN" w:bidi="ar-SA"/>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b/>
          <w:color w:val="333333"/>
          <w:kern w:val="0"/>
          <w:sz w:val="32"/>
          <w:szCs w:val="22"/>
          <w:lang w:val="en-US" w:eastAsia="zh-CN" w:bidi="ar-SA"/>
        </w:rPr>
        <w:t>第四条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学校的教材建设要突出高职高专教育的特点，体现理论知识为技能培养服务的原则，处理好职业素养、知识传授与技能培养的关系。更好地适应我校人才培养和三教改革的需要。</w:t>
      </w:r>
    </w:p>
    <w:p>
      <w:pPr>
        <w:pStyle w:val="5"/>
        <w:tabs>
          <w:tab w:val="left" w:pos="1286"/>
        </w:tabs>
        <w:autoSpaceDE w:val="0"/>
        <w:autoSpaceDN w:val="0"/>
        <w:spacing w:after="0" w:line="240" w:lineRule="auto"/>
        <w:ind w:left="0" w:right="0"/>
        <w:rPr>
          <w:rFonts w:hint="eastAsia"/>
          <w:kern w:val="0"/>
          <w:lang w:val="en-US" w:eastAsia="zh-CN"/>
        </w:rPr>
      </w:pPr>
      <w:r>
        <w:rPr>
          <w:rFonts w:hint="eastAsia"/>
          <w:kern w:val="0"/>
          <w:lang w:val="en-US" w:eastAsia="zh-CN"/>
        </w:rPr>
        <w:t>第二章  管理机构与职能</w:t>
      </w:r>
    </w:p>
    <w:p>
      <w:pPr>
        <w:pStyle w:val="16"/>
        <w:rPr>
          <w:rFonts w:hint="eastAsia" w:ascii="仿宋_GB2312" w:hAnsi="Times New Roman" w:eastAsia="仿宋_GB2312" w:cs="仿宋_GB2312"/>
          <w:b w:val="0"/>
          <w:color w:val="auto"/>
          <w:kern w:val="2"/>
          <w:sz w:val="24"/>
          <w:szCs w:val="24"/>
          <w:lang w:val="en-US" w:eastAsia="zh-CN" w:bidi="ar-SA"/>
        </w:rPr>
      </w:pPr>
      <w:r>
        <w:rPr>
          <w:rFonts w:hint="eastAsia" w:ascii="仿宋" w:hAnsi="仿宋" w:eastAsia="仿宋" w:cs="仿宋"/>
          <w:b/>
          <w:color w:val="333333"/>
          <w:kern w:val="0"/>
          <w:sz w:val="32"/>
          <w:szCs w:val="22"/>
          <w:lang w:val="en-US" w:eastAsia="zh-CN" w:bidi="ar-SA"/>
        </w:rPr>
        <w:t xml:space="preserve">第五条 </w:t>
      </w:r>
      <w:r>
        <w:rPr>
          <w:rFonts w:hint="eastAsia" w:ascii="仿宋_GB2312" w:hAnsi="Times New Roman" w:eastAsia="仿宋_GB2312" w:cs="仿宋_GB2312"/>
          <w:b w:val="0"/>
          <w:color w:val="auto"/>
          <w:kern w:val="2"/>
          <w:sz w:val="24"/>
          <w:szCs w:val="24"/>
          <w:lang w:val="en-US" w:eastAsia="zh-CN" w:bidi="ar-SA"/>
        </w:rPr>
        <w:t xml:space="preserve"> </w:t>
      </w:r>
      <w:r>
        <w:rPr>
          <w:rFonts w:hint="eastAsia" w:ascii="仿宋" w:hAnsi="仿宋" w:eastAsia="仿宋" w:cs="仿宋"/>
          <w:color w:val="333333"/>
          <w:w w:val="99"/>
          <w:kern w:val="0"/>
          <w:sz w:val="32"/>
          <w:szCs w:val="32"/>
          <w:lang w:val="en-US" w:eastAsia="zh-CN" w:bidi="ar-SA"/>
        </w:rPr>
        <w:t>教材建设与管理实行校、二级教学单位、教研室三级管理体制。学校党委（党组织）对本校教材工作负总责。学校分管教学的校领导和二级教学单位分管教学的领导分别是两级教材建设与管理工作的直接责任人。</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kern w:val="0"/>
          <w:sz w:val="32"/>
          <w:szCs w:val="22"/>
          <w:lang w:val="en-US" w:eastAsia="zh-CN" w:bidi="ar-SA"/>
        </w:rPr>
        <w:t>第六条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教材建设与选用委员会，作为教材建设与管理工作的领导、组织和管理机构。教材建设与选用委员会成员应包括党委、专业教师、行业企业专家、教科研人员、教学管理人员等。其职责是：</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1.审定各教学单位教材建设规划。</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2.指导各专业教材建设、教材研究工作。</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3.检查、评价教材选用质量。</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4.审批自编教材的出版。</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5.对教材工作中的重大问题提出决策意见。</w:t>
      </w:r>
    </w:p>
    <w:p>
      <w:pPr>
        <w:pStyle w:val="16"/>
        <w:rPr>
          <w:rFonts w:cs="Times New Roman"/>
          <w:color w:val="auto"/>
        </w:rPr>
      </w:pPr>
      <w:r>
        <w:rPr>
          <w:rFonts w:hint="eastAsia" w:ascii="仿宋" w:hAnsi="仿宋" w:eastAsia="仿宋" w:cs="仿宋"/>
          <w:b/>
          <w:color w:val="333333"/>
          <w:kern w:val="0"/>
          <w:sz w:val="32"/>
          <w:szCs w:val="22"/>
          <w:lang w:val="en-US" w:eastAsia="zh-CN" w:bidi="ar-SA"/>
        </w:rPr>
        <w:t>第七条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教务科研处和图书馆是学校教材建设与管理工作的职能部门。具体负责教材建设与教材选用质量管理、教材订购与供应等日常工作，其主要职责是：</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1.贯彻落实教材建设与管理工作的各项方针、政策。</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2.组织教材编写的立项。</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3.组织教材的选用。</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4.组织推荐优秀教材。</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5.组织评价选用教材的质量。</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6.组织教材发放、资料室教材存放与管理。</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7.整理教材经费核算。</w:t>
      </w:r>
    </w:p>
    <w:p>
      <w:pPr>
        <w:pStyle w:val="5"/>
        <w:tabs>
          <w:tab w:val="left" w:pos="3628"/>
        </w:tabs>
        <w:autoSpaceDE w:val="0"/>
        <w:autoSpaceDN w:val="0"/>
        <w:spacing w:before="1" w:after="0" w:line="240" w:lineRule="auto"/>
        <w:ind w:right="0"/>
        <w:jc w:val="center"/>
        <w:rPr>
          <w:rFonts w:cs="Times New Roman"/>
          <w:color w:val="auto"/>
        </w:rPr>
      </w:pPr>
      <w:r>
        <w:rPr>
          <w:rFonts w:hint="eastAsia"/>
          <w:color w:val="auto"/>
        </w:rPr>
        <w:t>第三章  教材建设</w:t>
      </w:r>
    </w:p>
    <w:p>
      <w:pPr>
        <w:pStyle w:val="16"/>
        <w:rPr>
          <w:rFonts w:cs="Times New Roman"/>
          <w:color w:val="auto"/>
        </w:rPr>
      </w:pPr>
      <w:r>
        <w:rPr>
          <w:rFonts w:hint="eastAsia" w:ascii="仿宋" w:hAnsi="仿宋" w:eastAsia="仿宋" w:cs="仿宋"/>
          <w:b/>
          <w:color w:val="333333"/>
          <w:spacing w:val="2"/>
          <w:w w:val="99"/>
          <w:kern w:val="0"/>
          <w:sz w:val="32"/>
          <w:szCs w:val="32"/>
          <w:lang w:val="en-US" w:eastAsia="en-US" w:bidi="ar-SA"/>
        </w:rPr>
        <w:t>第八条</w:t>
      </w:r>
      <w:r>
        <w:rPr>
          <w:rFonts w:hint="eastAsia"/>
          <w:b/>
          <w:color w:val="auto"/>
        </w:rPr>
        <w:t xml:space="preserve">  </w:t>
      </w:r>
      <w:r>
        <w:rPr>
          <w:rFonts w:hint="eastAsia" w:ascii="仿宋" w:hAnsi="仿宋" w:eastAsia="仿宋" w:cs="仿宋"/>
          <w:color w:val="333333"/>
          <w:w w:val="99"/>
          <w:kern w:val="0"/>
          <w:sz w:val="32"/>
          <w:szCs w:val="32"/>
          <w:lang w:val="en-US" w:eastAsia="en-US" w:bidi="ar-SA"/>
        </w:rPr>
        <w:t>加强教材建设规划工作，根据各专业培养方案，由各教学单位提出本单位的教材建设规划，重点建设适合</w:t>
      </w:r>
      <w:r>
        <w:rPr>
          <w:rFonts w:hint="eastAsia" w:ascii="仿宋" w:hAnsi="仿宋" w:eastAsia="仿宋" w:cs="仿宋"/>
          <w:color w:val="333333"/>
          <w:w w:val="99"/>
          <w:kern w:val="0"/>
          <w:sz w:val="32"/>
          <w:szCs w:val="32"/>
          <w:lang w:val="en-US" w:eastAsia="zh-CN" w:bidi="ar-SA"/>
        </w:rPr>
        <w:t>我校</w:t>
      </w:r>
      <w:r>
        <w:rPr>
          <w:rFonts w:hint="eastAsia" w:ascii="仿宋" w:hAnsi="仿宋" w:eastAsia="仿宋" w:cs="仿宋"/>
          <w:color w:val="333333"/>
          <w:w w:val="99"/>
          <w:kern w:val="0"/>
          <w:sz w:val="32"/>
          <w:szCs w:val="32"/>
          <w:lang w:val="en-US" w:eastAsia="en-US" w:bidi="ar-SA"/>
        </w:rPr>
        <w:t>教学实际、符合</w:t>
      </w:r>
      <w:r>
        <w:rPr>
          <w:rFonts w:hint="eastAsia" w:ascii="仿宋" w:hAnsi="仿宋" w:eastAsia="仿宋" w:cs="仿宋"/>
          <w:color w:val="333333"/>
          <w:w w:val="99"/>
          <w:kern w:val="0"/>
          <w:sz w:val="32"/>
          <w:szCs w:val="32"/>
          <w:lang w:val="en-US" w:eastAsia="zh-CN" w:bidi="ar-SA"/>
        </w:rPr>
        <w:t>我校</w:t>
      </w:r>
      <w:r>
        <w:rPr>
          <w:rFonts w:hint="eastAsia" w:ascii="仿宋" w:hAnsi="仿宋" w:eastAsia="仿宋" w:cs="仿宋"/>
          <w:color w:val="333333"/>
          <w:w w:val="99"/>
          <w:kern w:val="0"/>
          <w:sz w:val="32"/>
          <w:szCs w:val="32"/>
          <w:lang w:val="en-US" w:eastAsia="en-US" w:bidi="ar-SA"/>
        </w:rPr>
        <w:t>应用</w:t>
      </w:r>
      <w:r>
        <w:rPr>
          <w:rFonts w:hint="eastAsia" w:ascii="仿宋" w:hAnsi="仿宋" w:eastAsia="仿宋" w:cs="仿宋"/>
          <w:color w:val="333333"/>
          <w:w w:val="99"/>
          <w:kern w:val="0"/>
          <w:sz w:val="32"/>
          <w:szCs w:val="32"/>
          <w:lang w:val="en-US" w:eastAsia="zh-CN" w:bidi="ar-SA"/>
        </w:rPr>
        <w:t>型</w:t>
      </w:r>
      <w:r>
        <w:rPr>
          <w:rFonts w:hint="eastAsia" w:ascii="仿宋" w:hAnsi="仿宋" w:eastAsia="仿宋" w:cs="仿宋"/>
          <w:color w:val="333333"/>
          <w:w w:val="99"/>
          <w:kern w:val="0"/>
          <w:sz w:val="32"/>
          <w:szCs w:val="32"/>
          <w:lang w:val="en-US" w:eastAsia="en-US" w:bidi="ar-SA"/>
        </w:rPr>
        <w:t>人才培养目标，能体现</w:t>
      </w:r>
      <w:r>
        <w:rPr>
          <w:rFonts w:hint="eastAsia" w:ascii="仿宋" w:hAnsi="仿宋" w:eastAsia="仿宋" w:cs="仿宋"/>
          <w:color w:val="333333"/>
          <w:w w:val="99"/>
          <w:kern w:val="0"/>
          <w:sz w:val="32"/>
          <w:szCs w:val="32"/>
          <w:lang w:val="en-US" w:eastAsia="zh-CN" w:bidi="ar-SA"/>
        </w:rPr>
        <w:t>我校</w:t>
      </w:r>
      <w:r>
        <w:rPr>
          <w:rFonts w:hint="eastAsia" w:ascii="仿宋" w:hAnsi="仿宋" w:eastAsia="仿宋" w:cs="仿宋"/>
          <w:color w:val="333333"/>
          <w:w w:val="99"/>
          <w:kern w:val="0"/>
          <w:sz w:val="32"/>
          <w:szCs w:val="32"/>
          <w:lang w:val="en-US" w:eastAsia="en-US" w:bidi="ar-SA"/>
        </w:rPr>
        <w:t>专业特色的校企合作教材及实践指导书。</w:t>
      </w:r>
    </w:p>
    <w:p>
      <w:pPr>
        <w:pStyle w:val="16"/>
        <w:rPr>
          <w:rFonts w:cs="Times New Roman"/>
          <w:color w:val="auto"/>
        </w:rPr>
      </w:pPr>
      <w:r>
        <w:rPr>
          <w:rFonts w:hint="eastAsia" w:ascii="仿宋" w:hAnsi="仿宋" w:eastAsia="仿宋" w:cs="仿宋"/>
          <w:b/>
          <w:color w:val="333333"/>
          <w:spacing w:val="2"/>
          <w:w w:val="99"/>
          <w:kern w:val="0"/>
          <w:sz w:val="32"/>
          <w:szCs w:val="32"/>
          <w:lang w:val="en-US" w:eastAsia="en-US" w:bidi="ar-SA"/>
        </w:rPr>
        <w:t>第九条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教务科研处</w:t>
      </w:r>
      <w:r>
        <w:rPr>
          <w:rFonts w:hint="eastAsia" w:ascii="仿宋" w:hAnsi="仿宋" w:eastAsia="仿宋" w:cs="仿宋"/>
          <w:color w:val="333333"/>
          <w:w w:val="99"/>
          <w:kern w:val="0"/>
          <w:sz w:val="32"/>
          <w:szCs w:val="32"/>
          <w:lang w:val="en-US" w:eastAsia="en-US" w:bidi="ar-SA"/>
        </w:rPr>
        <w:t>依据各教学单位上报的教材规划，结合教学与课程建设的总体要求，制定学</w:t>
      </w:r>
      <w:r>
        <w:rPr>
          <w:rFonts w:hint="eastAsia" w:ascii="仿宋" w:hAnsi="仿宋" w:eastAsia="仿宋" w:cs="仿宋"/>
          <w:color w:val="333333"/>
          <w:w w:val="99"/>
          <w:kern w:val="0"/>
          <w:sz w:val="32"/>
          <w:szCs w:val="32"/>
          <w:lang w:val="en-US" w:eastAsia="zh-CN" w:bidi="ar-SA"/>
        </w:rPr>
        <w:t>校</w:t>
      </w:r>
      <w:r>
        <w:rPr>
          <w:rFonts w:hint="eastAsia" w:ascii="仿宋" w:hAnsi="仿宋" w:eastAsia="仿宋" w:cs="仿宋"/>
          <w:color w:val="333333"/>
          <w:w w:val="99"/>
          <w:kern w:val="0"/>
          <w:sz w:val="32"/>
          <w:szCs w:val="32"/>
          <w:lang w:val="en-US" w:eastAsia="en-US" w:bidi="ar-SA"/>
        </w:rPr>
        <w:t>的教材建设规划，提交</w:t>
      </w:r>
      <w:r>
        <w:rPr>
          <w:rFonts w:hint="eastAsia" w:ascii="仿宋" w:hAnsi="仿宋" w:eastAsia="仿宋" w:cs="仿宋"/>
          <w:color w:val="333333"/>
          <w:w w:val="99"/>
          <w:kern w:val="0"/>
          <w:sz w:val="32"/>
          <w:szCs w:val="32"/>
          <w:lang w:val="en-US" w:eastAsia="zh-CN" w:bidi="ar-SA"/>
        </w:rPr>
        <w:t>教材建设与选用委员会</w:t>
      </w:r>
      <w:r>
        <w:rPr>
          <w:rFonts w:hint="eastAsia" w:ascii="仿宋" w:hAnsi="仿宋" w:eastAsia="仿宋" w:cs="仿宋"/>
          <w:color w:val="333333"/>
          <w:w w:val="99"/>
          <w:kern w:val="0"/>
          <w:sz w:val="32"/>
          <w:szCs w:val="32"/>
          <w:lang w:val="en-US" w:eastAsia="en-US" w:bidi="ar-SA"/>
        </w:rPr>
        <w:t>审议。</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第十条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教材建设与选用委员会根据学校的教材建设规划，审定各专业的教材编写申请，确定立项。</w:t>
      </w:r>
    </w:p>
    <w:p>
      <w:pPr>
        <w:pStyle w:val="16"/>
        <w:rPr>
          <w:rFonts w:hint="eastAsia"/>
          <w:color w:val="auto"/>
        </w:rPr>
      </w:pPr>
      <w:r>
        <w:rPr>
          <w:rFonts w:hint="eastAsia" w:ascii="仿宋" w:hAnsi="仿宋" w:eastAsia="仿宋" w:cs="仿宋"/>
          <w:b/>
          <w:color w:val="333333"/>
          <w:spacing w:val="2"/>
          <w:w w:val="99"/>
          <w:kern w:val="0"/>
          <w:sz w:val="32"/>
          <w:szCs w:val="32"/>
          <w:lang w:val="en-US" w:eastAsia="en-US" w:bidi="ar-SA"/>
        </w:rPr>
        <w:t>第十一条</w:t>
      </w:r>
      <w:r>
        <w:rPr>
          <w:rFonts w:hint="eastAsia"/>
          <w:b/>
          <w:color w:val="auto"/>
        </w:rPr>
        <w:t xml:space="preserve"> </w:t>
      </w:r>
      <w:r>
        <w:rPr>
          <w:rFonts w:hint="eastAsia"/>
          <w:b/>
          <w:color w:val="auto"/>
          <w:lang w:val="en-US" w:eastAsia="zh-CN"/>
        </w:rPr>
        <w:t xml:space="preserve"> </w:t>
      </w:r>
      <w:r>
        <w:rPr>
          <w:rFonts w:hint="eastAsia" w:ascii="仿宋" w:hAnsi="仿宋" w:eastAsia="仿宋" w:cs="仿宋"/>
          <w:color w:val="333333"/>
          <w:w w:val="99"/>
          <w:kern w:val="0"/>
          <w:sz w:val="32"/>
          <w:szCs w:val="32"/>
          <w:lang w:val="en-US" w:eastAsia="zh-CN" w:bidi="ar-SA"/>
        </w:rPr>
        <w:t>学校设立教材建设及奖励专项基金，主要用于教材的建设与管理，资助自编教材出版和奖励优秀教材。积极鼓励教师开展教材研究工作。各二级教学单位可组织教师开展教材的调查研究工作，积极申请教材研究立项。</w:t>
      </w:r>
    </w:p>
    <w:p>
      <w:pPr>
        <w:pStyle w:val="16"/>
        <w:rPr>
          <w:rFonts w:hint="eastAsia" w:ascii="仿宋" w:hAnsi="仿宋" w:eastAsia="仿宋" w:cs="仿宋"/>
          <w:color w:val="333333"/>
          <w:w w:val="99"/>
          <w:kern w:val="0"/>
          <w:sz w:val="32"/>
          <w:szCs w:val="32"/>
          <w:lang w:val="en-US" w:eastAsia="zh-CN" w:bidi="ar-SA"/>
        </w:rPr>
      </w:pPr>
      <w:r>
        <w:rPr>
          <w:rFonts w:hint="default" w:ascii="仿宋" w:hAnsi="仿宋" w:eastAsia="仿宋" w:cs="仿宋"/>
          <w:b/>
          <w:color w:val="333333"/>
          <w:spacing w:val="2"/>
          <w:w w:val="99"/>
          <w:kern w:val="0"/>
          <w:sz w:val="32"/>
          <w:szCs w:val="32"/>
          <w:lang w:val="en-US" w:eastAsia="zh-CN" w:bidi="ar-SA"/>
        </w:rPr>
        <w:t xml:space="preserve">第十二条 </w:t>
      </w:r>
      <w:r>
        <w:rPr>
          <w:rFonts w:hint="eastAsia" w:ascii="仿宋" w:hAnsi="仿宋" w:eastAsia="仿宋" w:cs="仿宋"/>
          <w:b/>
          <w:color w:val="333333"/>
          <w:spacing w:val="2"/>
          <w:w w:val="99"/>
          <w:kern w:val="0"/>
          <w:sz w:val="32"/>
          <w:szCs w:val="32"/>
          <w:lang w:val="en-US" w:eastAsia="zh-CN" w:bidi="ar-SA"/>
        </w:rPr>
        <w:t xml:space="preserve"> </w:t>
      </w:r>
      <w:r>
        <w:rPr>
          <w:rFonts w:hint="default" w:ascii="仿宋" w:hAnsi="仿宋" w:eastAsia="仿宋" w:cs="仿宋"/>
          <w:color w:val="333333"/>
          <w:w w:val="99"/>
          <w:kern w:val="0"/>
          <w:sz w:val="32"/>
          <w:szCs w:val="32"/>
          <w:lang w:val="en-US" w:eastAsia="zh-CN" w:bidi="ar-SA"/>
        </w:rPr>
        <w:t>教材编写依据职业院校教材规划以及国家教学标准和职业标准（规范）等，服务学生成长成才和就业创业。教材编写应符合以下要求：</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w:t>
      </w:r>
      <w:r>
        <w:rPr>
          <w:rFonts w:hint="default" w:ascii="仿宋" w:hAnsi="仿宋" w:eastAsia="仿宋" w:cs="仿宋"/>
          <w:color w:val="333333"/>
          <w:w w:val="99"/>
          <w:kern w:val="0"/>
          <w:sz w:val="32"/>
          <w:szCs w:val="32"/>
          <w:lang w:val="en-US" w:eastAsia="zh-CN" w:bidi="ar-SA"/>
        </w:rPr>
        <w:t>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w:t>
      </w:r>
      <w:r>
        <w:rPr>
          <w:rFonts w:hint="default" w:ascii="仿宋" w:hAnsi="仿宋" w:eastAsia="仿宋" w:cs="仿宋"/>
          <w:color w:val="333333"/>
          <w:w w:val="99"/>
          <w:kern w:val="0"/>
          <w:sz w:val="32"/>
          <w:szCs w:val="32"/>
          <w:lang w:val="en-US" w:eastAsia="zh-CN" w:bidi="ar-SA"/>
        </w:rPr>
        <w:t>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w:t>
      </w:r>
      <w:r>
        <w:rPr>
          <w:rFonts w:hint="default" w:ascii="仿宋" w:hAnsi="仿宋" w:eastAsia="仿宋" w:cs="仿宋"/>
          <w:color w:val="333333"/>
          <w:w w:val="99"/>
          <w:kern w:val="0"/>
          <w:sz w:val="32"/>
          <w:szCs w:val="32"/>
          <w:lang w:val="en-US" w:eastAsia="zh-CN" w:bidi="ar-SA"/>
        </w:rPr>
        <w:t>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w:t>
      </w:r>
      <w:r>
        <w:rPr>
          <w:rFonts w:hint="default" w:ascii="仿宋" w:hAnsi="仿宋" w:eastAsia="仿宋" w:cs="仿宋"/>
          <w:color w:val="333333"/>
          <w:w w:val="99"/>
          <w:kern w:val="0"/>
          <w:sz w:val="32"/>
          <w:szCs w:val="32"/>
          <w:lang w:val="en-US" w:eastAsia="zh-CN" w:bidi="ar-SA"/>
        </w:rPr>
        <w:t>编排科学合理、梯度明晰，图、文、表并茂，生动活泼，形式新颖。名称、名词、术语等符合国家有关技术质量标准和规范。倡导开发活页式、工作手册式新形态教材。</w:t>
      </w:r>
    </w:p>
    <w:p>
      <w:pPr>
        <w:pStyle w:val="16"/>
        <w:rPr>
          <w:rFonts w:hint="default" w:hAnsi="Times New Roman"/>
          <w:color w:val="auto"/>
          <w:lang w:val="en-US" w:eastAsia="zh-CN"/>
        </w:rPr>
      </w:pPr>
      <w:r>
        <w:rPr>
          <w:rFonts w:hint="eastAsia" w:ascii="仿宋" w:hAnsi="仿宋" w:eastAsia="仿宋" w:cs="仿宋"/>
          <w:color w:val="333333"/>
          <w:w w:val="99"/>
          <w:kern w:val="0"/>
          <w:sz w:val="32"/>
          <w:szCs w:val="32"/>
          <w:lang w:val="en-US" w:eastAsia="zh-CN" w:bidi="ar-SA"/>
        </w:rPr>
        <w:t>5.</w:t>
      </w:r>
      <w:r>
        <w:rPr>
          <w:rFonts w:hint="default" w:ascii="仿宋" w:hAnsi="仿宋" w:eastAsia="仿宋" w:cs="仿宋"/>
          <w:color w:val="333333"/>
          <w:w w:val="99"/>
          <w:kern w:val="0"/>
          <w:sz w:val="32"/>
          <w:szCs w:val="32"/>
          <w:lang w:val="en-US" w:eastAsia="zh-CN" w:bidi="ar-SA"/>
        </w:rPr>
        <w:t>符合知识产权保护等国家法律、行政法规，不得有民族、地域、性别、职业、年龄歧视等内容，不得有商业广告或变相商业广告。</w:t>
      </w:r>
    </w:p>
    <w:p>
      <w:pPr>
        <w:pStyle w:val="16"/>
        <w:rPr>
          <w:rFonts w:hint="default" w:ascii="仿宋" w:hAnsi="仿宋" w:eastAsia="仿宋" w:cs="仿宋"/>
          <w:color w:val="333333"/>
          <w:w w:val="99"/>
          <w:kern w:val="0"/>
          <w:sz w:val="32"/>
          <w:szCs w:val="32"/>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三</w:t>
      </w:r>
      <w:r>
        <w:rPr>
          <w:rFonts w:hint="default" w:ascii="仿宋" w:hAnsi="仿宋" w:eastAsia="仿宋" w:cs="仿宋"/>
          <w:b/>
          <w:color w:val="333333"/>
          <w:spacing w:val="2"/>
          <w:w w:val="99"/>
          <w:kern w:val="0"/>
          <w:sz w:val="32"/>
          <w:szCs w:val="32"/>
          <w:lang w:val="en-US" w:eastAsia="zh-CN" w:bidi="ar-SA"/>
        </w:rPr>
        <w:t>条</w:t>
      </w:r>
      <w:r>
        <w:rPr>
          <w:rFonts w:hint="default" w:hAnsi="Times New Roman"/>
          <w:color w:val="auto"/>
          <w:lang w:val="en-US" w:eastAsia="zh-CN"/>
        </w:rPr>
        <w:t xml:space="preserve"> </w:t>
      </w:r>
      <w:r>
        <w:rPr>
          <w:rFonts w:hint="eastAsia" w:hAnsi="Times New Roman"/>
          <w:color w:val="auto"/>
          <w:lang w:val="en-US" w:eastAsia="zh-CN"/>
        </w:rPr>
        <w:t xml:space="preserve"> </w:t>
      </w:r>
      <w:r>
        <w:rPr>
          <w:rFonts w:hint="default" w:ascii="仿宋" w:hAnsi="仿宋" w:eastAsia="仿宋" w:cs="仿宋"/>
          <w:color w:val="333333"/>
          <w:w w:val="99"/>
          <w:kern w:val="0"/>
          <w:sz w:val="32"/>
          <w:szCs w:val="32"/>
          <w:lang w:val="en-US" w:eastAsia="zh-CN" w:bidi="ar-SA"/>
        </w:rPr>
        <w:t>教材编写人员应经</w:t>
      </w:r>
      <w:r>
        <w:rPr>
          <w:rFonts w:hint="eastAsia" w:ascii="仿宋" w:hAnsi="仿宋" w:eastAsia="仿宋" w:cs="仿宋"/>
          <w:color w:val="333333"/>
          <w:w w:val="99"/>
          <w:kern w:val="0"/>
          <w:sz w:val="32"/>
          <w:szCs w:val="32"/>
          <w:lang w:val="en-US" w:eastAsia="zh-CN" w:bidi="ar-SA"/>
        </w:rPr>
        <w:t>学校党委</w:t>
      </w:r>
      <w:r>
        <w:rPr>
          <w:rFonts w:hint="default" w:ascii="仿宋" w:hAnsi="仿宋" w:eastAsia="仿宋" w:cs="仿宋"/>
          <w:color w:val="333333"/>
          <w:w w:val="99"/>
          <w:kern w:val="0"/>
          <w:sz w:val="32"/>
          <w:szCs w:val="32"/>
          <w:lang w:val="en-US" w:eastAsia="zh-CN" w:bidi="ar-SA"/>
        </w:rPr>
        <w:t>审核同意，并集中向社会公示。编写人员应符合以下条件:</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w:t>
      </w:r>
      <w:r>
        <w:rPr>
          <w:rFonts w:hint="default" w:ascii="仿宋" w:hAnsi="仿宋" w:eastAsia="仿宋" w:cs="仿宋"/>
          <w:color w:val="333333"/>
          <w:w w:val="99"/>
          <w:kern w:val="0"/>
          <w:sz w:val="32"/>
          <w:szCs w:val="32"/>
          <w:lang w:val="en-US" w:eastAsia="zh-CN" w:bidi="ar-SA"/>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w:t>
      </w:r>
      <w:r>
        <w:rPr>
          <w:rFonts w:hint="default" w:ascii="仿宋" w:hAnsi="仿宋" w:eastAsia="仿宋" w:cs="仿宋"/>
          <w:color w:val="333333"/>
          <w:w w:val="99"/>
          <w:kern w:val="0"/>
          <w:sz w:val="32"/>
          <w:szCs w:val="32"/>
          <w:lang w:val="en-US" w:eastAsia="zh-CN" w:bidi="ar-SA"/>
        </w:rPr>
        <w:t>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w:t>
      </w:r>
      <w:r>
        <w:rPr>
          <w:rFonts w:hint="default" w:ascii="仿宋" w:hAnsi="仿宋" w:eastAsia="仿宋" w:cs="仿宋"/>
          <w:color w:val="333333"/>
          <w:w w:val="99"/>
          <w:kern w:val="0"/>
          <w:sz w:val="32"/>
          <w:szCs w:val="32"/>
          <w:lang w:val="en-US" w:eastAsia="zh-CN" w:bidi="ar-SA"/>
        </w:rPr>
        <w:t>遵纪守法，有良好的思想品德、社会形象和师德师风。</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w:t>
      </w:r>
      <w:r>
        <w:rPr>
          <w:rFonts w:hint="default" w:ascii="仿宋" w:hAnsi="仿宋" w:eastAsia="仿宋" w:cs="仿宋"/>
          <w:color w:val="333333"/>
          <w:w w:val="99"/>
          <w:kern w:val="0"/>
          <w:sz w:val="32"/>
          <w:szCs w:val="32"/>
          <w:lang w:val="en-US" w:eastAsia="zh-CN" w:bidi="ar-SA"/>
        </w:rPr>
        <w:t>有足够时间和精力从事教材编写修订工作。</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5.</w:t>
      </w:r>
      <w:r>
        <w:rPr>
          <w:rFonts w:hint="default" w:ascii="仿宋" w:hAnsi="仿宋" w:eastAsia="仿宋" w:cs="仿宋"/>
          <w:color w:val="333333"/>
          <w:w w:val="99"/>
          <w:kern w:val="0"/>
          <w:sz w:val="32"/>
          <w:szCs w:val="32"/>
          <w:lang w:val="en-US" w:eastAsia="zh-CN" w:bidi="ar-SA"/>
        </w:rPr>
        <w:t>编写人员不能同时作为同一课程不同版本教材主编。</w:t>
      </w:r>
    </w:p>
    <w:p>
      <w:pPr>
        <w:pStyle w:val="16"/>
        <w:rPr>
          <w:rFonts w:hint="default" w:ascii="仿宋" w:hAnsi="仿宋" w:eastAsia="仿宋" w:cs="仿宋"/>
          <w:color w:val="333333"/>
          <w:w w:val="99"/>
          <w:kern w:val="0"/>
          <w:sz w:val="32"/>
          <w:szCs w:val="32"/>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四</w:t>
      </w:r>
      <w:r>
        <w:rPr>
          <w:rFonts w:hint="default" w:ascii="仿宋" w:hAnsi="仿宋" w:eastAsia="仿宋" w:cs="仿宋"/>
          <w:b/>
          <w:color w:val="333333"/>
          <w:spacing w:val="2"/>
          <w:w w:val="99"/>
          <w:kern w:val="0"/>
          <w:sz w:val="32"/>
          <w:szCs w:val="32"/>
          <w:lang w:val="en-US" w:eastAsia="zh-CN" w:bidi="ar-SA"/>
        </w:rPr>
        <w:t>条</w:t>
      </w:r>
      <w:r>
        <w:rPr>
          <w:rFonts w:hint="default" w:ascii="仿宋_GB2312" w:hAnsi="Times New Roman" w:eastAsia="仿宋_GB2312" w:cs="仿宋_GB2312"/>
          <w:color w:val="auto"/>
          <w:kern w:val="2"/>
          <w:sz w:val="24"/>
          <w:szCs w:val="24"/>
          <w:lang w:val="en-US" w:eastAsia="zh-CN" w:bidi="ar-SA"/>
        </w:rPr>
        <w:t xml:space="preserve"> </w:t>
      </w:r>
      <w:r>
        <w:rPr>
          <w:rFonts w:hint="eastAsia" w:hAnsi="Times New Roman" w:cs="仿宋_GB2312"/>
          <w:color w:val="auto"/>
          <w:kern w:val="2"/>
          <w:sz w:val="24"/>
          <w:szCs w:val="24"/>
          <w:lang w:val="en-US" w:eastAsia="zh-CN" w:bidi="ar-SA"/>
        </w:rPr>
        <w:t xml:space="preserve"> </w:t>
      </w:r>
      <w:r>
        <w:rPr>
          <w:rFonts w:hint="default" w:ascii="仿宋" w:hAnsi="仿宋" w:eastAsia="仿宋" w:cs="仿宋"/>
          <w:color w:val="333333"/>
          <w:w w:val="99"/>
          <w:kern w:val="0"/>
          <w:sz w:val="32"/>
          <w:szCs w:val="32"/>
          <w:lang w:val="en-US" w:eastAsia="zh-CN" w:bidi="ar-SA"/>
        </w:rPr>
        <w:t>教材编写实行主编负责制。主编主要负责教材整体设计，把握教材编写进度，对教材编写质量负总责。主编须符合本办法第十四条规定外，还需符合以下条件：</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w:t>
      </w:r>
      <w:r>
        <w:rPr>
          <w:rFonts w:hint="default" w:ascii="仿宋" w:hAnsi="仿宋" w:eastAsia="仿宋" w:cs="仿宋"/>
          <w:color w:val="333333"/>
          <w:w w:val="99"/>
          <w:kern w:val="0"/>
          <w:sz w:val="32"/>
          <w:szCs w:val="32"/>
          <w:lang w:val="en-US" w:eastAsia="zh-CN" w:bidi="ar-SA"/>
        </w:rPr>
        <w:t>坚持正确的学术导向，政治敏锐性强，能够辨别并自觉抵制各种错误政治观点和思潮。</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w:t>
      </w:r>
      <w:r>
        <w:rPr>
          <w:rFonts w:hint="default" w:ascii="仿宋" w:hAnsi="仿宋" w:eastAsia="仿宋" w:cs="仿宋"/>
          <w:color w:val="333333"/>
          <w:w w:val="99"/>
          <w:kern w:val="0"/>
          <w:sz w:val="32"/>
          <w:szCs w:val="32"/>
          <w:lang w:val="en-US" w:eastAsia="zh-CN" w:bidi="ar-SA"/>
        </w:rPr>
        <w:t>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w:t>
      </w:r>
      <w:r>
        <w:rPr>
          <w:rFonts w:hint="default" w:ascii="仿宋" w:hAnsi="仿宋" w:eastAsia="仿宋" w:cs="仿宋"/>
          <w:color w:val="333333"/>
          <w:w w:val="99"/>
          <w:kern w:val="0"/>
          <w:sz w:val="32"/>
          <w:szCs w:val="32"/>
          <w:lang w:val="en-US" w:eastAsia="zh-CN" w:bidi="ar-SA"/>
        </w:rPr>
        <w:t>有较高的文字水平，熟悉教材语言风格，能够熟练运用中国特色的话语体系。</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w:t>
      </w:r>
      <w:r>
        <w:rPr>
          <w:rFonts w:hint="default" w:ascii="仿宋" w:hAnsi="仿宋" w:eastAsia="仿宋" w:cs="仿宋"/>
          <w:color w:val="333333"/>
          <w:w w:val="99"/>
          <w:kern w:val="0"/>
          <w:sz w:val="32"/>
          <w:szCs w:val="32"/>
          <w:lang w:val="en-US" w:eastAsia="zh-CN" w:bidi="ar-SA"/>
        </w:rPr>
        <w:t>审核通过后的教材原则上不更换主编，如有特殊情况，应报</w:t>
      </w:r>
      <w:r>
        <w:rPr>
          <w:rFonts w:hint="eastAsia" w:ascii="仿宋" w:hAnsi="仿宋" w:eastAsia="仿宋" w:cs="仿宋"/>
          <w:color w:val="333333"/>
          <w:w w:val="99"/>
          <w:kern w:val="0"/>
          <w:sz w:val="32"/>
          <w:szCs w:val="32"/>
          <w:lang w:val="en-US" w:eastAsia="zh-CN" w:bidi="ar-SA"/>
        </w:rPr>
        <w:t>教务科研处</w:t>
      </w:r>
      <w:r>
        <w:rPr>
          <w:rFonts w:hint="default" w:ascii="仿宋" w:hAnsi="仿宋" w:eastAsia="仿宋" w:cs="仿宋"/>
          <w:color w:val="333333"/>
          <w:w w:val="99"/>
          <w:kern w:val="0"/>
          <w:sz w:val="32"/>
          <w:szCs w:val="32"/>
          <w:lang w:val="en-US" w:eastAsia="zh-CN" w:bidi="ar-SA"/>
        </w:rPr>
        <w:t>批准。</w:t>
      </w:r>
    </w:p>
    <w:p>
      <w:pPr>
        <w:pStyle w:val="16"/>
        <w:rPr>
          <w:rFonts w:hint="default" w:ascii="仿宋" w:hAnsi="仿宋" w:eastAsia="仿宋" w:cs="仿宋"/>
          <w:color w:val="333333"/>
          <w:w w:val="99"/>
          <w:kern w:val="0"/>
          <w:sz w:val="32"/>
          <w:szCs w:val="32"/>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五</w:t>
      </w:r>
      <w:r>
        <w:rPr>
          <w:rFonts w:hint="default" w:ascii="仿宋" w:hAnsi="仿宋" w:eastAsia="仿宋" w:cs="仿宋"/>
          <w:b/>
          <w:color w:val="333333"/>
          <w:spacing w:val="2"/>
          <w:w w:val="99"/>
          <w:kern w:val="0"/>
          <w:sz w:val="32"/>
          <w:szCs w:val="32"/>
          <w:lang w:val="en-US" w:eastAsia="zh-CN" w:bidi="ar-SA"/>
        </w:rPr>
        <w:t>条</w:t>
      </w:r>
      <w:r>
        <w:rPr>
          <w:rFonts w:hint="eastAsia" w:hAnsi="Times New Roman" w:cs="仿宋_GB2312"/>
          <w:b/>
          <w:bCs/>
          <w:color w:val="auto"/>
          <w:kern w:val="2"/>
          <w:sz w:val="24"/>
          <w:szCs w:val="24"/>
          <w:lang w:val="en-US" w:eastAsia="zh-CN" w:bidi="ar-SA"/>
        </w:rPr>
        <w:t xml:space="preserve"> </w:t>
      </w:r>
      <w:r>
        <w:rPr>
          <w:rFonts w:hint="default" w:ascii="仿宋_GB2312" w:hAnsi="Times New Roman" w:eastAsia="仿宋_GB2312" w:cs="仿宋_GB2312"/>
          <w:color w:val="auto"/>
          <w:kern w:val="2"/>
          <w:sz w:val="24"/>
          <w:szCs w:val="24"/>
          <w:lang w:val="en-US" w:eastAsia="zh-CN" w:bidi="ar-SA"/>
        </w:rPr>
        <w:t xml:space="preserve"> </w:t>
      </w:r>
      <w:r>
        <w:rPr>
          <w:rFonts w:hint="default" w:ascii="仿宋" w:hAnsi="仿宋" w:eastAsia="仿宋" w:cs="仿宋"/>
          <w:color w:val="333333"/>
          <w:w w:val="99"/>
          <w:kern w:val="0"/>
          <w:sz w:val="32"/>
          <w:szCs w:val="32"/>
          <w:lang w:val="en-US" w:eastAsia="zh-CN" w:bidi="ar-SA"/>
        </w:rPr>
        <w:t>教材编写团队应具有合理的人员结构，包含相关学科专业领域专家、教科研人员、一线教师、行业企业技术人员和能工巧匠等。</w:t>
      </w:r>
    </w:p>
    <w:p>
      <w:pPr>
        <w:pStyle w:val="16"/>
        <w:rPr>
          <w:rFonts w:hint="default" w:ascii="仿宋_GB2312" w:hAnsi="Times New Roman" w:eastAsia="仿宋_GB2312" w:cs="仿宋_GB2312"/>
          <w:color w:val="auto"/>
          <w:kern w:val="2"/>
          <w:sz w:val="24"/>
          <w:szCs w:val="24"/>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六</w:t>
      </w:r>
      <w:r>
        <w:rPr>
          <w:rFonts w:hint="default" w:ascii="仿宋" w:hAnsi="仿宋" w:eastAsia="仿宋" w:cs="仿宋"/>
          <w:b/>
          <w:color w:val="333333"/>
          <w:spacing w:val="2"/>
          <w:w w:val="99"/>
          <w:kern w:val="0"/>
          <w:sz w:val="32"/>
          <w:szCs w:val="32"/>
          <w:lang w:val="en-US" w:eastAsia="zh-CN" w:bidi="ar-SA"/>
        </w:rPr>
        <w:t>条</w:t>
      </w:r>
      <w:r>
        <w:rPr>
          <w:rFonts w:hint="default" w:ascii="仿宋_GB2312" w:hAnsi="Times New Roman" w:eastAsia="仿宋_GB2312" w:cs="仿宋_GB2312"/>
          <w:color w:val="auto"/>
          <w:kern w:val="2"/>
          <w:sz w:val="24"/>
          <w:szCs w:val="24"/>
          <w:lang w:val="en-US" w:eastAsia="zh-CN" w:bidi="ar-SA"/>
        </w:rPr>
        <w:t xml:space="preserve"> </w:t>
      </w:r>
      <w:r>
        <w:rPr>
          <w:rFonts w:hint="eastAsia" w:hAnsi="Times New Roman" w:cs="仿宋_GB2312"/>
          <w:color w:val="auto"/>
          <w:kern w:val="2"/>
          <w:sz w:val="24"/>
          <w:szCs w:val="24"/>
          <w:lang w:val="en-US" w:eastAsia="zh-CN" w:bidi="ar-SA"/>
        </w:rPr>
        <w:t xml:space="preserve"> </w:t>
      </w:r>
      <w:r>
        <w:rPr>
          <w:rFonts w:hint="default" w:ascii="仿宋" w:hAnsi="仿宋" w:eastAsia="仿宋" w:cs="仿宋"/>
          <w:color w:val="333333"/>
          <w:w w:val="99"/>
          <w:kern w:val="0"/>
          <w:sz w:val="32"/>
          <w:szCs w:val="32"/>
          <w:lang w:val="en-US" w:eastAsia="zh-CN" w:bidi="ar-SA"/>
        </w:rPr>
        <w:t>教材编写过程中应通过多种方式征求各方面特别是一线师生和企业意见。教材编写完成后，应送一线任课教师和行业企业专业人员进行审读、试用，根据审读意见和试用情况修改完善教材。</w:t>
      </w:r>
    </w:p>
    <w:p>
      <w:pPr>
        <w:pStyle w:val="16"/>
        <w:rPr>
          <w:rFonts w:hint="default" w:ascii="仿宋_GB2312" w:hAnsi="Times New Roman" w:eastAsia="仿宋_GB2312" w:cs="仿宋_GB2312"/>
          <w:color w:val="auto"/>
          <w:kern w:val="2"/>
          <w:sz w:val="24"/>
          <w:szCs w:val="24"/>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七</w:t>
      </w:r>
      <w:r>
        <w:rPr>
          <w:rFonts w:hint="default" w:ascii="仿宋" w:hAnsi="仿宋" w:eastAsia="仿宋" w:cs="仿宋"/>
          <w:b/>
          <w:color w:val="333333"/>
          <w:spacing w:val="2"/>
          <w:w w:val="99"/>
          <w:kern w:val="0"/>
          <w:sz w:val="32"/>
          <w:szCs w:val="32"/>
          <w:lang w:val="en-US" w:eastAsia="zh-CN" w:bidi="ar-SA"/>
        </w:rPr>
        <w:t>条</w:t>
      </w:r>
      <w:r>
        <w:rPr>
          <w:rFonts w:hint="default" w:ascii="仿宋_GB2312" w:hAnsi="Times New Roman" w:eastAsia="仿宋_GB2312" w:cs="仿宋_GB2312"/>
          <w:color w:val="auto"/>
          <w:kern w:val="2"/>
          <w:sz w:val="24"/>
          <w:szCs w:val="24"/>
          <w:lang w:val="en-US" w:eastAsia="zh-CN" w:bidi="ar-SA"/>
        </w:rPr>
        <w:t xml:space="preserve"> </w:t>
      </w:r>
      <w:r>
        <w:rPr>
          <w:rFonts w:hint="eastAsia" w:hAnsi="Times New Roman" w:cs="仿宋_GB2312"/>
          <w:color w:val="auto"/>
          <w:kern w:val="2"/>
          <w:sz w:val="24"/>
          <w:szCs w:val="24"/>
          <w:lang w:val="en-US" w:eastAsia="zh-CN" w:bidi="ar-SA"/>
        </w:rPr>
        <w:t xml:space="preserve"> </w:t>
      </w:r>
      <w:r>
        <w:rPr>
          <w:rFonts w:hint="default" w:ascii="仿宋" w:hAnsi="仿宋" w:eastAsia="仿宋" w:cs="仿宋"/>
          <w:color w:val="333333"/>
          <w:w w:val="99"/>
          <w:kern w:val="0"/>
          <w:sz w:val="32"/>
          <w:szCs w:val="32"/>
          <w:lang w:val="en-US" w:eastAsia="zh-CN" w:bidi="ar-SA"/>
        </w:rPr>
        <w:t>教材投入使用后，应根据经济社会和产业升级新动态及时进行修订，一般按学制周期修订。国家统编教材修订由国务院教育行政部门统一组织实施，其他教材修订由编写单位按照有关要求进行。</w:t>
      </w:r>
    </w:p>
    <w:p>
      <w:pPr>
        <w:pStyle w:val="16"/>
        <w:rPr>
          <w:rFonts w:hint="default" w:ascii="仿宋" w:hAnsi="仿宋" w:eastAsia="仿宋" w:cs="仿宋"/>
          <w:color w:val="333333"/>
          <w:w w:val="99"/>
          <w:kern w:val="0"/>
          <w:sz w:val="32"/>
          <w:szCs w:val="32"/>
          <w:lang w:val="en-US" w:eastAsia="zh-CN" w:bidi="ar-SA"/>
        </w:rPr>
      </w:pPr>
      <w:r>
        <w:rPr>
          <w:rFonts w:hint="default" w:ascii="仿宋" w:hAnsi="仿宋" w:eastAsia="仿宋" w:cs="仿宋"/>
          <w:b/>
          <w:color w:val="333333"/>
          <w:spacing w:val="2"/>
          <w:w w:val="99"/>
          <w:kern w:val="0"/>
          <w:sz w:val="32"/>
          <w:szCs w:val="32"/>
          <w:lang w:val="en-US" w:eastAsia="zh-CN" w:bidi="ar-SA"/>
        </w:rPr>
        <w:t>第十</w:t>
      </w:r>
      <w:r>
        <w:rPr>
          <w:rFonts w:hint="eastAsia" w:ascii="仿宋" w:hAnsi="仿宋" w:eastAsia="仿宋" w:cs="仿宋"/>
          <w:b/>
          <w:color w:val="333333"/>
          <w:spacing w:val="2"/>
          <w:w w:val="99"/>
          <w:kern w:val="0"/>
          <w:sz w:val="32"/>
          <w:szCs w:val="32"/>
          <w:lang w:val="en-US" w:eastAsia="zh-CN" w:bidi="ar-SA"/>
        </w:rPr>
        <w:t>八</w:t>
      </w:r>
      <w:r>
        <w:rPr>
          <w:rFonts w:hint="default" w:ascii="仿宋" w:hAnsi="仿宋" w:eastAsia="仿宋" w:cs="仿宋"/>
          <w:b/>
          <w:color w:val="333333"/>
          <w:spacing w:val="2"/>
          <w:w w:val="99"/>
          <w:kern w:val="0"/>
          <w:sz w:val="32"/>
          <w:szCs w:val="32"/>
          <w:lang w:val="en-US" w:eastAsia="zh-CN" w:bidi="ar-SA"/>
        </w:rPr>
        <w:t>条</w:t>
      </w:r>
      <w:r>
        <w:rPr>
          <w:rFonts w:hint="default" w:ascii="仿宋_GB2312" w:hAnsi="Times New Roman" w:eastAsia="仿宋_GB2312" w:cs="仿宋_GB2312"/>
          <w:color w:val="auto"/>
          <w:kern w:val="2"/>
          <w:sz w:val="24"/>
          <w:szCs w:val="24"/>
          <w:lang w:val="en-US" w:eastAsia="zh-CN" w:bidi="ar-SA"/>
        </w:rPr>
        <w:t xml:space="preserve"> </w:t>
      </w:r>
      <w:r>
        <w:rPr>
          <w:rFonts w:hint="eastAsia" w:hAnsi="Times New Roman" w:cs="仿宋_GB2312"/>
          <w:color w:val="auto"/>
          <w:kern w:val="2"/>
          <w:sz w:val="24"/>
          <w:szCs w:val="24"/>
          <w:lang w:val="en-US" w:eastAsia="zh-CN" w:bidi="ar-SA"/>
        </w:rPr>
        <w:t xml:space="preserve"> </w:t>
      </w:r>
      <w:r>
        <w:rPr>
          <w:rFonts w:hint="default" w:ascii="仿宋" w:hAnsi="仿宋" w:eastAsia="仿宋" w:cs="仿宋"/>
          <w:color w:val="333333"/>
          <w:w w:val="99"/>
          <w:kern w:val="0"/>
          <w:sz w:val="32"/>
          <w:szCs w:val="32"/>
          <w:lang w:val="en-US" w:eastAsia="zh-CN" w:bidi="ar-SA"/>
        </w:rPr>
        <w:t>教材</w:t>
      </w:r>
      <w:r>
        <w:rPr>
          <w:rFonts w:hint="eastAsia" w:ascii="仿宋" w:hAnsi="仿宋" w:eastAsia="仿宋" w:cs="仿宋"/>
          <w:color w:val="333333"/>
          <w:w w:val="99"/>
          <w:kern w:val="0"/>
          <w:sz w:val="32"/>
          <w:szCs w:val="32"/>
          <w:lang w:val="en-US" w:eastAsia="zh-CN" w:bidi="ar-SA"/>
        </w:rPr>
        <w:t>建设</w:t>
      </w:r>
      <w:r>
        <w:rPr>
          <w:rFonts w:hint="default" w:ascii="仿宋" w:hAnsi="仿宋" w:eastAsia="仿宋" w:cs="仿宋"/>
          <w:color w:val="333333"/>
          <w:w w:val="99"/>
          <w:kern w:val="0"/>
          <w:sz w:val="32"/>
          <w:szCs w:val="32"/>
          <w:lang w:val="en-US" w:eastAsia="zh-CN" w:bidi="ar-SA"/>
        </w:rPr>
        <w:t>实行编审分离制度，遵循回避原则</w:t>
      </w:r>
      <w:r>
        <w:rPr>
          <w:rFonts w:hint="eastAsia" w:ascii="仿宋" w:hAnsi="仿宋" w:eastAsia="仿宋" w:cs="仿宋"/>
          <w:color w:val="333333"/>
          <w:w w:val="99"/>
          <w:kern w:val="0"/>
          <w:sz w:val="32"/>
          <w:szCs w:val="32"/>
          <w:lang w:val="en-US" w:eastAsia="zh-CN" w:bidi="ar-SA"/>
        </w:rPr>
        <w:t>，</w:t>
      </w:r>
      <w:r>
        <w:rPr>
          <w:rFonts w:hint="default" w:ascii="仿宋" w:hAnsi="仿宋" w:eastAsia="仿宋" w:cs="仿宋"/>
          <w:color w:val="333333"/>
          <w:w w:val="99"/>
          <w:kern w:val="0"/>
          <w:sz w:val="32"/>
          <w:szCs w:val="32"/>
          <w:lang w:val="en-US" w:eastAsia="zh-CN" w:bidi="ar-SA"/>
        </w:rPr>
        <w:t>实行分级分类审核，坚持凡编必审。</w:t>
      </w:r>
      <w:r>
        <w:rPr>
          <w:rFonts w:hint="eastAsia" w:ascii="仿宋" w:hAnsi="仿宋" w:eastAsia="仿宋" w:cs="仿宋"/>
          <w:color w:val="333333"/>
          <w:w w:val="99"/>
          <w:kern w:val="0"/>
          <w:sz w:val="32"/>
          <w:szCs w:val="32"/>
          <w:lang w:val="en-US" w:eastAsia="zh-CN" w:bidi="ar-SA"/>
        </w:rPr>
        <w:t>教材建设与选用委员会组织专家</w:t>
      </w:r>
      <w:r>
        <w:rPr>
          <w:rFonts w:hint="default" w:ascii="仿宋" w:hAnsi="仿宋" w:eastAsia="仿宋" w:cs="仿宋"/>
          <w:color w:val="333333"/>
          <w:w w:val="99"/>
          <w:kern w:val="0"/>
          <w:sz w:val="32"/>
          <w:szCs w:val="32"/>
          <w:lang w:val="en-US" w:eastAsia="zh-CN" w:bidi="ar-SA"/>
        </w:rPr>
        <w:t>对教材的思想性、科学性、适宜性进行全面把关</w:t>
      </w:r>
      <w:r>
        <w:rPr>
          <w:rFonts w:hint="eastAsia" w:ascii="仿宋" w:hAnsi="仿宋" w:eastAsia="仿宋" w:cs="仿宋"/>
          <w:color w:val="333333"/>
          <w:w w:val="99"/>
          <w:kern w:val="0"/>
          <w:sz w:val="32"/>
          <w:szCs w:val="32"/>
          <w:lang w:val="en-US" w:eastAsia="zh-CN" w:bidi="ar-SA"/>
        </w:rPr>
        <w:t>。</w:t>
      </w:r>
    </w:p>
    <w:p>
      <w:pPr>
        <w:pStyle w:val="5"/>
        <w:tabs>
          <w:tab w:val="left" w:pos="3628"/>
        </w:tabs>
        <w:autoSpaceDE w:val="0"/>
        <w:autoSpaceDN w:val="0"/>
        <w:spacing w:before="1" w:after="0" w:line="240" w:lineRule="auto"/>
        <w:ind w:right="0"/>
        <w:jc w:val="center"/>
        <w:rPr>
          <w:kern w:val="0"/>
          <w:lang w:eastAsia="en-US"/>
        </w:rPr>
      </w:pPr>
      <w:r>
        <w:rPr>
          <w:rFonts w:hint="eastAsia"/>
          <w:kern w:val="0"/>
          <w:lang w:eastAsia="en-US"/>
        </w:rPr>
        <w:t>第四章  教材选用</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zh-CN" w:bidi="ar-SA"/>
        </w:rPr>
        <w:t>第十九条</w:t>
      </w:r>
      <w:r>
        <w:rPr>
          <w:rFonts w:hint="eastAsia"/>
          <w:b/>
          <w:color w:val="auto"/>
        </w:rPr>
        <w:t xml:space="preserve"> </w:t>
      </w:r>
      <w:r>
        <w:rPr>
          <w:rFonts w:hint="eastAsia"/>
          <w:b/>
          <w:color w:val="auto"/>
          <w:lang w:val="en-US" w:eastAsia="zh-CN"/>
        </w:rPr>
        <w:t xml:space="preserve"> </w:t>
      </w:r>
      <w:r>
        <w:rPr>
          <w:rFonts w:hint="eastAsia" w:ascii="仿宋" w:hAnsi="仿宋" w:eastAsia="仿宋" w:cs="仿宋"/>
          <w:color w:val="333333"/>
          <w:w w:val="99"/>
          <w:kern w:val="0"/>
          <w:sz w:val="32"/>
          <w:szCs w:val="32"/>
          <w:lang w:val="en-US" w:eastAsia="zh-CN" w:bidi="ar-SA"/>
        </w:rPr>
        <w:t>教材选用坚持“凡订必审，择优选用，注重质量，严格论证，加强管理”基本原则。</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思想性原则：选用教材的政治性、思想性、学术性、规范性和适宜性应符合习近平新时代中国特色社会主义思想和正确的社会主义价值导向，符合新时期党和国家的方针、政策，与课程在人才培养方案中的地位和作用相适应，与学校人才培养层次和规格要求相匹配。教材选用符合当下的发展形势，必须使用国家统编的思想政治理论课教材、马克思主义理论研究和建设工程重点教材。</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适用性原则：选用教材应具有专业的先进性和教学的适用性，有较强的实践性和系统性，能够正确地阐述本专业的科学理论、概念和实践应用，必须符合职业教育教学规律，体现职业岗位任职和三教改革要求，选用高职高专教材。选用的教材必须是通过审核的版本，擅自更改内容的教材不得选用，未按照规定程序取得审核认定意见的教材不得选用；不得以岗位培训教材取代专业课程教材；不得选用盗版、盗印教材。</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3.选优原则：优秀教材包括教育部规划教材、获奖教材、精品教材、行业部委统编教材、教育行政管理部门指定教材、校本开发教材和课证融合教材（考证指定用书）等，优秀教材选用比例达到70%以上。</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要加强国内外教材比较和选用工作，加强国外教材审核，选用境外教材，按照国家有关政策执行。</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4.选新原则：新教材是指近五年出版的教材。新教材的选用比例原则上达到70%以上。</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5.稳定性原则：选用教材不得因任课教师变动而随意更换教材。确因培养方案调整、课程变动和教学内容更新，选用的教材不再适应课程教学需要时，须经学校主管领导审批后，重新选用教材。</w:t>
      </w:r>
    </w:p>
    <w:p>
      <w:pPr>
        <w:pStyle w:val="16"/>
        <w:rPr>
          <w:rFonts w:hint="default"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6.凡订必审原则：选用教材要求坚持凡订必审、择优选新原则，每本教材都必须填写“福州软件职业技术学院教材选用核查意见表”。</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7.其他;一门课程原则上只允许选用一种教材，同一课程，不同专业开课，课程目标一致，采用同一教材。</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二十</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为方便教师选用教材，图书馆设立教材样本库，每学期教材应保留一本教学参考，收集教材出版、征订信息，以及优秀教材样书、各课程使用过的教材和实验、实习指导书等，供教师参阅。</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二十一</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教材选用程序</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1.教材的选用管理实行审定制度，严格规范教材选用程序，由承担课程教学任务的二级教学单位组织论证，提出选用意见，报教务科研处、党委宣传部审批审定批准，确保高质量的教材进入课堂，未经教务科研处、党委宣传部审批认证的教材不得征订使用。</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2.任课教师提出所选用的教材后，教研室必须填写“教材预定清单”，由教研室主任负责对所选教材进行初审，二级教学单位负责人负责审核，教务科研处、党委宣传部负责对全院教材选用的审定。</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color w:val="333333"/>
          <w:w w:val="99"/>
          <w:kern w:val="0"/>
          <w:sz w:val="32"/>
          <w:szCs w:val="32"/>
          <w:lang w:val="en-US" w:eastAsia="zh-CN" w:bidi="ar-SA"/>
        </w:rPr>
        <w:t>3.教材选定后，如需变更教材时，变更教材程序和选用教材程序一致，需重新提交清单并再次确认签字。</w:t>
      </w:r>
    </w:p>
    <w:p>
      <w:pPr>
        <w:pStyle w:val="5"/>
        <w:tabs>
          <w:tab w:val="left" w:pos="3628"/>
        </w:tabs>
        <w:autoSpaceDE w:val="0"/>
        <w:autoSpaceDN w:val="0"/>
        <w:spacing w:before="1" w:after="0" w:line="240" w:lineRule="auto"/>
        <w:ind w:left="2344" w:right="0"/>
        <w:jc w:val="left"/>
        <w:rPr>
          <w:kern w:val="0"/>
          <w:lang w:eastAsia="en-US"/>
        </w:rPr>
      </w:pPr>
      <w:r>
        <w:rPr>
          <w:rFonts w:hint="eastAsia"/>
          <w:kern w:val="0"/>
          <w:lang w:eastAsia="en-US"/>
        </w:rPr>
        <w:t>第五章  教材征订与管理</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二十二</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图书馆负责上报教材采购单、保管、发放和教材款的预结算。</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二十三</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各教学单位选定教材后，必须认真、及时填报《教材预订清单》，所选的教材名称（全称）、出版社、版本、编者以及使用专业、年级、预订册数等，均应逐项填写清楚。并在规定时间内审核汇总，电子版和纸质版（需签字盖章）送交图书馆。</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二十四</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图书馆汇总并制订全校教材预订单，经教务科研处审批后向外订购。</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第二十</w:t>
      </w:r>
      <w:r>
        <w:rPr>
          <w:rFonts w:hint="eastAsia" w:ascii="仿宋" w:hAnsi="仿宋" w:eastAsia="仿宋" w:cs="仿宋"/>
          <w:b/>
          <w:color w:val="333333"/>
          <w:spacing w:val="2"/>
          <w:w w:val="99"/>
          <w:kern w:val="0"/>
          <w:sz w:val="32"/>
          <w:szCs w:val="32"/>
          <w:lang w:val="en-US" w:eastAsia="zh-CN" w:bidi="ar-SA"/>
        </w:rPr>
        <w:t>五</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学生使用的教材，由图书馆指定地点根据专业教材领用清单统一领取，领取时需要确认人数和教材，最终由辅导员和领取负责人签字确认，图书馆每学期公布学生各班级教材款收支情况。</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第二十</w:t>
      </w:r>
      <w:r>
        <w:rPr>
          <w:rFonts w:hint="eastAsia" w:ascii="仿宋" w:hAnsi="仿宋" w:eastAsia="仿宋" w:cs="仿宋"/>
          <w:b/>
          <w:color w:val="333333"/>
          <w:spacing w:val="2"/>
          <w:w w:val="99"/>
          <w:kern w:val="0"/>
          <w:sz w:val="32"/>
          <w:szCs w:val="32"/>
          <w:lang w:val="en-US" w:eastAsia="zh-CN" w:bidi="ar-SA"/>
        </w:rPr>
        <w:t>六</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教材预订后不得随意变更。如有特殊情况必须改变选用计划时应重新办理选用手续，并附一份教材变动说明，经教务科研处同意后纳入预订计划。</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第二十</w:t>
      </w:r>
      <w:r>
        <w:rPr>
          <w:rFonts w:hint="eastAsia" w:ascii="仿宋" w:hAnsi="仿宋" w:eastAsia="仿宋" w:cs="仿宋"/>
          <w:b/>
          <w:color w:val="333333"/>
          <w:spacing w:val="2"/>
          <w:w w:val="99"/>
          <w:kern w:val="0"/>
          <w:sz w:val="32"/>
          <w:szCs w:val="32"/>
          <w:lang w:val="en-US" w:eastAsia="zh-CN" w:bidi="ar-SA"/>
        </w:rPr>
        <w:t>七</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 xml:space="preserve"> 不得自行订购教材发放给学生，否则由此带来的一切后果自行负责。</w:t>
      </w:r>
    </w:p>
    <w:p>
      <w:pPr>
        <w:pStyle w:val="5"/>
        <w:tabs>
          <w:tab w:val="left" w:pos="3628"/>
        </w:tabs>
        <w:autoSpaceDE w:val="0"/>
        <w:autoSpaceDN w:val="0"/>
        <w:spacing w:before="1" w:after="0" w:line="240" w:lineRule="auto"/>
        <w:ind w:left="2344" w:right="0"/>
        <w:jc w:val="left"/>
        <w:rPr>
          <w:rFonts w:hint="eastAsia"/>
          <w:kern w:val="0"/>
          <w:lang w:eastAsia="en-US"/>
        </w:rPr>
      </w:pPr>
      <w:r>
        <w:rPr>
          <w:rFonts w:hint="eastAsia"/>
          <w:kern w:val="0"/>
          <w:lang w:eastAsia="en-US"/>
        </w:rPr>
        <w:t>第六章  资料室教材存放与管理</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第二十</w:t>
      </w:r>
      <w:r>
        <w:rPr>
          <w:rFonts w:hint="eastAsia" w:ascii="仿宋" w:hAnsi="仿宋" w:eastAsia="仿宋" w:cs="仿宋"/>
          <w:b/>
          <w:color w:val="333333"/>
          <w:spacing w:val="2"/>
          <w:w w:val="99"/>
          <w:kern w:val="0"/>
          <w:sz w:val="32"/>
          <w:szCs w:val="32"/>
          <w:lang w:val="en-US" w:eastAsia="zh-CN" w:bidi="ar-SA"/>
        </w:rPr>
        <w:t>八</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资料室是学校保存教材的专用场地。</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第二十</w:t>
      </w:r>
      <w:r>
        <w:rPr>
          <w:rFonts w:hint="eastAsia" w:ascii="仿宋" w:hAnsi="仿宋" w:eastAsia="仿宋" w:cs="仿宋"/>
          <w:b/>
          <w:color w:val="333333"/>
          <w:spacing w:val="2"/>
          <w:w w:val="99"/>
          <w:kern w:val="0"/>
          <w:sz w:val="32"/>
          <w:szCs w:val="32"/>
          <w:lang w:val="en-US" w:eastAsia="zh-CN" w:bidi="ar-SA"/>
        </w:rPr>
        <w:t>九</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资料室教材存放根据各教学单位划分，每个学期更新一次，新学期教材存放教务科研处办公室提供给教师，多出的教材存放在资料室。</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三十</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教材存放库房未经库房管理人员许可，他人不得入内。</w:t>
      </w:r>
    </w:p>
    <w:p>
      <w:pPr>
        <w:pStyle w:val="16"/>
        <w:rPr>
          <w:rFonts w:cs="Times New Roman"/>
          <w:color w:val="auto"/>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三</w:t>
      </w:r>
      <w:r>
        <w:rPr>
          <w:rFonts w:hint="eastAsia" w:ascii="仿宋" w:hAnsi="仿宋" w:eastAsia="仿宋" w:cs="仿宋"/>
          <w:b/>
          <w:color w:val="333333"/>
          <w:spacing w:val="2"/>
          <w:w w:val="99"/>
          <w:kern w:val="0"/>
          <w:sz w:val="32"/>
          <w:szCs w:val="32"/>
          <w:lang w:val="en-US" w:eastAsia="en-US" w:bidi="ar-SA"/>
        </w:rPr>
        <w:t>十</w:t>
      </w:r>
      <w:r>
        <w:rPr>
          <w:rFonts w:hint="eastAsia" w:ascii="仿宋" w:hAnsi="仿宋" w:eastAsia="仿宋" w:cs="仿宋"/>
          <w:b/>
          <w:color w:val="333333"/>
          <w:spacing w:val="2"/>
          <w:w w:val="99"/>
          <w:kern w:val="0"/>
          <w:sz w:val="32"/>
          <w:szCs w:val="32"/>
          <w:lang w:val="en-US" w:eastAsia="zh-CN" w:bidi="ar-SA"/>
        </w:rPr>
        <w:t>一</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所有教材必须入库管理，并逐步建立健全教材的网络化管理，实现教材管理的现代化。严格教材出入库手续，定期清点库存，做到帐物相符。</w:t>
      </w:r>
    </w:p>
    <w:p>
      <w:pPr>
        <w:pStyle w:val="16"/>
        <w:rPr>
          <w:rFonts w:hint="eastAsia" w:ascii="仿宋" w:hAnsi="仿宋" w:eastAsia="仿宋" w:cs="仿宋"/>
          <w:color w:val="333333"/>
          <w:w w:val="99"/>
          <w:kern w:val="0"/>
          <w:sz w:val="32"/>
          <w:szCs w:val="32"/>
          <w:lang w:val="en-US" w:eastAsia="zh-CN" w:bidi="ar-SA"/>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三十二</w:t>
      </w:r>
      <w:r>
        <w:rPr>
          <w:rFonts w:hint="eastAsia" w:ascii="仿宋" w:hAnsi="仿宋" w:eastAsia="仿宋" w:cs="仿宋"/>
          <w:b/>
          <w:color w:val="333333"/>
          <w:spacing w:val="2"/>
          <w:w w:val="99"/>
          <w:kern w:val="0"/>
          <w:sz w:val="32"/>
          <w:szCs w:val="32"/>
          <w:lang w:val="en-US" w:eastAsia="en-US" w:bidi="ar-SA"/>
        </w:rPr>
        <w:t>条</w:t>
      </w:r>
      <w:r>
        <w:rPr>
          <w:rFonts w:hint="eastAsia"/>
          <w:b/>
          <w:color w:val="auto"/>
        </w:rPr>
        <w:t xml:space="preserve">  </w:t>
      </w:r>
      <w:r>
        <w:rPr>
          <w:rFonts w:hint="eastAsia" w:ascii="仿宋" w:hAnsi="仿宋" w:eastAsia="仿宋" w:cs="仿宋"/>
          <w:color w:val="333333"/>
          <w:w w:val="99"/>
          <w:kern w:val="0"/>
          <w:sz w:val="32"/>
          <w:szCs w:val="32"/>
          <w:lang w:val="en-US" w:eastAsia="zh-CN" w:bidi="ar-SA"/>
        </w:rPr>
        <w:t>严格教材管理，各教学单位和教材科要相互配合，尽量避免教材过时积压，降低教材管理的成本，减少浪费。</w:t>
      </w:r>
    </w:p>
    <w:p>
      <w:pPr>
        <w:pStyle w:val="16"/>
        <w:rPr>
          <w:color w:val="auto"/>
        </w:rPr>
      </w:pPr>
      <w:r>
        <w:rPr>
          <w:rFonts w:hint="eastAsia" w:ascii="仿宋" w:hAnsi="仿宋" w:eastAsia="仿宋" w:cs="仿宋"/>
          <w:b/>
          <w:color w:val="333333"/>
          <w:spacing w:val="2"/>
          <w:w w:val="99"/>
          <w:kern w:val="0"/>
          <w:sz w:val="32"/>
          <w:szCs w:val="32"/>
          <w:lang w:val="en-US" w:eastAsia="en-US" w:bidi="ar-SA"/>
        </w:rPr>
        <w:t>第</w:t>
      </w:r>
      <w:r>
        <w:rPr>
          <w:rFonts w:hint="eastAsia" w:ascii="仿宋" w:hAnsi="仿宋" w:eastAsia="仿宋" w:cs="仿宋"/>
          <w:b/>
          <w:color w:val="333333"/>
          <w:spacing w:val="2"/>
          <w:w w:val="99"/>
          <w:kern w:val="0"/>
          <w:sz w:val="32"/>
          <w:szCs w:val="32"/>
          <w:lang w:val="en-US" w:eastAsia="zh-CN" w:bidi="ar-SA"/>
        </w:rPr>
        <w:t>三十三</w:t>
      </w:r>
      <w:r>
        <w:rPr>
          <w:rFonts w:hint="eastAsia" w:ascii="仿宋" w:hAnsi="仿宋" w:eastAsia="仿宋" w:cs="仿宋"/>
          <w:b/>
          <w:color w:val="333333"/>
          <w:spacing w:val="2"/>
          <w:w w:val="99"/>
          <w:kern w:val="0"/>
          <w:sz w:val="32"/>
          <w:szCs w:val="32"/>
          <w:lang w:val="en-US" w:eastAsia="en-US" w:bidi="ar-SA"/>
        </w:rPr>
        <w:t xml:space="preserve">条 </w:t>
      </w:r>
      <w:r>
        <w:rPr>
          <w:rFonts w:hint="eastAsia"/>
          <w:b/>
          <w:color w:val="auto"/>
        </w:rPr>
        <w:t xml:space="preserve"> </w:t>
      </w:r>
      <w:r>
        <w:rPr>
          <w:rFonts w:hint="eastAsia" w:ascii="仿宋" w:hAnsi="仿宋" w:eastAsia="仿宋" w:cs="仿宋"/>
          <w:color w:val="333333"/>
          <w:w w:val="99"/>
          <w:kern w:val="0"/>
          <w:sz w:val="32"/>
          <w:szCs w:val="32"/>
          <w:lang w:val="en-US" w:eastAsia="zh-CN" w:bidi="ar-SA"/>
        </w:rPr>
        <w:t>每五年对旧版教材进行一次调整，对过期，破损等特殊原因需要报废的教材进行整理。</w:t>
      </w:r>
    </w:p>
    <w:p>
      <w:pPr>
        <w:pStyle w:val="16"/>
        <w:ind w:firstLine="480"/>
        <w:rPr>
          <w:color w:val="auto"/>
        </w:rPr>
      </w:pPr>
    </w:p>
    <w:p>
      <w:pPr>
        <w:spacing w:before="156" w:beforeLines="50" w:after="156" w:afterLines="50"/>
        <w:jc w:val="both"/>
        <w:rPr>
          <w:rFonts w:ascii="宋体" w:hAnsi="宋体" w:eastAsia="宋体" w:cs="宋体"/>
          <w:b/>
          <w:bCs/>
          <w:color w:val="auto"/>
          <w:spacing w:val="-20"/>
          <w:sz w:val="44"/>
          <w:szCs w:val="44"/>
        </w:rPr>
      </w:pPr>
      <w:r>
        <w:rPr>
          <w:rFonts w:hint="eastAsia" w:ascii="仿宋" w:hAnsi="仿宋" w:eastAsia="仿宋" w:cs="仿宋"/>
          <w:b/>
          <w:bCs/>
          <w:color w:val="auto"/>
          <w:kern w:val="0"/>
          <w:sz w:val="32"/>
          <w:szCs w:val="32"/>
          <w:lang w:val="en-US" w:eastAsia="zh-CN"/>
        </w:rPr>
        <w:t>附件</w:t>
      </w:r>
      <w:r>
        <w:rPr>
          <w:rFonts w:hint="eastAsia" w:ascii="仿宋" w:hAnsi="仿宋" w:eastAsia="仿宋" w:cs="黑体"/>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福州软件职业技术学院教材选用核查意见表</w:t>
      </w: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firstLine="480"/>
        <w:jc w:val="right"/>
        <w:rPr>
          <w:rFonts w:hint="eastAsia"/>
          <w:color w:val="auto"/>
        </w:rPr>
      </w:pPr>
    </w:p>
    <w:p>
      <w:pPr>
        <w:pStyle w:val="16"/>
        <w:ind w:left="0" w:leftChars="0" w:firstLine="0" w:firstLineChars="0"/>
        <w:jc w:val="both"/>
        <w:rPr>
          <w:rFonts w:hint="eastAsia"/>
          <w:color w:val="auto"/>
        </w:rPr>
      </w:pPr>
    </w:p>
    <w:p>
      <w:pPr>
        <w:spacing w:before="156" w:beforeLines="50" w:after="156" w:afterLines="50"/>
        <w:jc w:val="center"/>
        <w:rPr>
          <w:rFonts w:ascii="宋体" w:hAnsi="宋体" w:eastAsia="宋体" w:cs="宋体"/>
          <w:b/>
          <w:bCs/>
          <w:color w:val="auto"/>
          <w:spacing w:val="-20"/>
          <w:sz w:val="44"/>
          <w:szCs w:val="44"/>
        </w:rPr>
      </w:pPr>
      <w:r>
        <w:rPr>
          <w:rFonts w:hint="eastAsia" w:ascii="宋体" w:hAnsi="宋体" w:eastAsia="宋体" w:cs="宋体"/>
          <w:b/>
          <w:bCs/>
          <w:color w:val="auto"/>
          <w:spacing w:val="-20"/>
          <w:sz w:val="44"/>
          <w:szCs w:val="44"/>
          <w:lang w:val="en-US" w:eastAsia="zh-CN"/>
        </w:rPr>
        <w:t>福州软件</w:t>
      </w:r>
      <w:r>
        <w:rPr>
          <w:rFonts w:hint="eastAsia" w:ascii="宋体" w:hAnsi="宋体" w:eastAsia="宋体" w:cs="宋体"/>
          <w:b/>
          <w:bCs/>
          <w:color w:val="auto"/>
          <w:spacing w:val="-20"/>
          <w:sz w:val="44"/>
          <w:szCs w:val="44"/>
        </w:rPr>
        <w:t>职业技术学院教材选用核查意见表</w:t>
      </w:r>
    </w:p>
    <w:tbl>
      <w:tblPr>
        <w:tblStyle w:val="9"/>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09"/>
        <w:gridCol w:w="1418"/>
        <w:gridCol w:w="849"/>
        <w:gridCol w:w="992"/>
        <w:gridCol w:w="285"/>
        <w:gridCol w:w="672"/>
        <w:gridCol w:w="317"/>
        <w:gridCol w:w="372"/>
        <w:gridCol w:w="482"/>
        <w:gridCol w:w="284"/>
        <w:gridCol w:w="123"/>
        <w:gridCol w:w="485"/>
        <w:gridCol w:w="45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473" w:type="dxa"/>
            <w:gridSpan w:val="2"/>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课程名称</w:t>
            </w:r>
          </w:p>
        </w:tc>
        <w:tc>
          <w:tcPr>
            <w:tcW w:w="4216" w:type="dxa"/>
            <w:gridSpan w:val="5"/>
            <w:noWrap w:val="0"/>
            <w:vAlign w:val="center"/>
          </w:tcPr>
          <w:p>
            <w:pPr>
              <w:jc w:val="center"/>
              <w:rPr>
                <w:rFonts w:ascii="Calibri" w:hAnsi="Calibri" w:eastAsia="宋体" w:cs="Times New Roman"/>
                <w:color w:val="auto"/>
              </w:rPr>
            </w:pPr>
          </w:p>
        </w:tc>
        <w:tc>
          <w:tcPr>
            <w:tcW w:w="1171" w:type="dxa"/>
            <w:gridSpan w:val="3"/>
            <w:noWrap w:val="0"/>
            <w:vAlign w:val="center"/>
          </w:tcPr>
          <w:p>
            <w:pPr>
              <w:jc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课程</w:t>
            </w:r>
          </w:p>
          <w:p>
            <w:pPr>
              <w:jc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编号</w:t>
            </w:r>
          </w:p>
        </w:tc>
        <w:tc>
          <w:tcPr>
            <w:tcW w:w="2408" w:type="dxa"/>
            <w:gridSpan w:val="5"/>
            <w:noWrap w:val="0"/>
            <w:vAlign w:val="center"/>
          </w:tcPr>
          <w:p>
            <w:pPr>
              <w:jc w:val="cente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473" w:type="dxa"/>
            <w:gridSpan w:val="2"/>
            <w:noWrap w:val="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年级专业</w:t>
            </w:r>
          </w:p>
        </w:tc>
        <w:tc>
          <w:tcPr>
            <w:tcW w:w="4216" w:type="dxa"/>
            <w:gridSpan w:val="5"/>
            <w:noWrap w:val="0"/>
            <w:vAlign w:val="center"/>
          </w:tcPr>
          <w:p>
            <w:pPr>
              <w:jc w:val="center"/>
              <w:rPr>
                <w:rFonts w:ascii="Calibri" w:hAnsi="Calibri" w:eastAsia="宋体" w:cs="Times New Roman"/>
                <w:color w:val="auto"/>
              </w:rPr>
            </w:pPr>
          </w:p>
        </w:tc>
        <w:tc>
          <w:tcPr>
            <w:tcW w:w="1171" w:type="dxa"/>
            <w:gridSpan w:val="3"/>
            <w:noWrap w:val="0"/>
            <w:vAlign w:val="center"/>
          </w:tcPr>
          <w:p>
            <w:pPr>
              <w:jc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使用</w:t>
            </w:r>
          </w:p>
          <w:p>
            <w:pPr>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学期</w:t>
            </w:r>
          </w:p>
        </w:tc>
        <w:tc>
          <w:tcPr>
            <w:tcW w:w="2408" w:type="dxa"/>
            <w:gridSpan w:val="5"/>
            <w:noWrap w:val="0"/>
            <w:vAlign w:val="center"/>
          </w:tcPr>
          <w:p>
            <w:pPr>
              <w:jc w:val="cente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473" w:type="dxa"/>
            <w:gridSpan w:val="2"/>
            <w:noWrap w:val="0"/>
            <w:vAlign w:val="center"/>
          </w:tcPr>
          <w:p>
            <w:pPr>
              <w:ind w:right="113"/>
              <w:jc w:val="center"/>
              <w:rPr>
                <w:rFonts w:ascii="宋体" w:hAnsi="宋体" w:eastAsia="宋体" w:cs="宋体"/>
                <w:color w:val="auto"/>
              </w:rPr>
            </w:pPr>
            <w:r>
              <w:rPr>
                <w:rFonts w:hint="eastAsia" w:ascii="宋体" w:hAnsi="宋体" w:eastAsia="宋体" w:cs="宋体"/>
                <w:color w:val="auto"/>
              </w:rPr>
              <w:t>选用人</w:t>
            </w:r>
          </w:p>
        </w:tc>
        <w:tc>
          <w:tcPr>
            <w:tcW w:w="2267" w:type="dxa"/>
            <w:gridSpan w:val="2"/>
            <w:noWrap w:val="0"/>
            <w:vAlign w:val="center"/>
          </w:tcPr>
          <w:p>
            <w:pPr>
              <w:ind w:left="113" w:right="113"/>
              <w:jc w:val="center"/>
              <w:rPr>
                <w:rFonts w:ascii="宋体" w:hAnsi="宋体" w:eastAsia="宋体" w:cs="宋体"/>
                <w:color w:val="auto"/>
              </w:rPr>
            </w:pPr>
          </w:p>
        </w:tc>
        <w:tc>
          <w:tcPr>
            <w:tcW w:w="992" w:type="dxa"/>
            <w:noWrap w:val="0"/>
            <w:vAlign w:val="center"/>
          </w:tcPr>
          <w:p>
            <w:pPr>
              <w:ind w:right="113"/>
              <w:jc w:val="center"/>
              <w:rPr>
                <w:rFonts w:ascii="宋体" w:hAnsi="宋体" w:eastAsia="宋体" w:cs="宋体"/>
                <w:color w:val="auto"/>
              </w:rPr>
            </w:pPr>
            <w:r>
              <w:rPr>
                <w:rFonts w:hint="eastAsia" w:ascii="宋体" w:hAnsi="宋体" w:eastAsia="宋体" w:cs="宋体"/>
                <w:color w:val="auto"/>
              </w:rPr>
              <w:t>学 历</w:t>
            </w:r>
          </w:p>
        </w:tc>
        <w:tc>
          <w:tcPr>
            <w:tcW w:w="1274" w:type="dxa"/>
            <w:gridSpan w:val="3"/>
            <w:noWrap w:val="0"/>
            <w:vAlign w:val="center"/>
          </w:tcPr>
          <w:p>
            <w:pPr>
              <w:ind w:left="113" w:right="113"/>
              <w:jc w:val="center"/>
              <w:rPr>
                <w:rFonts w:ascii="宋体" w:hAnsi="宋体" w:eastAsia="宋体" w:cs="宋体"/>
                <w:color w:val="auto"/>
              </w:rPr>
            </w:pPr>
          </w:p>
        </w:tc>
        <w:tc>
          <w:tcPr>
            <w:tcW w:w="854" w:type="dxa"/>
            <w:gridSpan w:val="2"/>
            <w:noWrap w:val="0"/>
            <w:vAlign w:val="center"/>
          </w:tcPr>
          <w:p>
            <w:pPr>
              <w:jc w:val="center"/>
              <w:rPr>
                <w:rFonts w:ascii="宋体" w:hAnsi="宋体" w:eastAsia="宋体" w:cs="宋体"/>
                <w:b/>
                <w:bCs/>
                <w:color w:val="auto"/>
              </w:rPr>
            </w:pPr>
            <w:r>
              <w:rPr>
                <w:rFonts w:hint="eastAsia" w:ascii="宋体" w:hAnsi="宋体" w:eastAsia="宋体" w:cs="宋体"/>
                <w:color w:val="auto"/>
              </w:rPr>
              <w:t>职 称</w:t>
            </w:r>
          </w:p>
        </w:tc>
        <w:tc>
          <w:tcPr>
            <w:tcW w:w="2408" w:type="dxa"/>
            <w:gridSpan w:val="5"/>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1473" w:type="dxa"/>
            <w:gridSpan w:val="2"/>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教材名称</w:t>
            </w:r>
          </w:p>
          <w:p>
            <w:pPr>
              <w:ind w:right="113"/>
              <w:jc w:val="center"/>
              <w:rPr>
                <w:rFonts w:hint="eastAsia" w:ascii="宋体" w:hAnsi="宋体" w:eastAsia="宋体" w:cs="宋体"/>
                <w:color w:val="auto"/>
              </w:rPr>
            </w:pPr>
            <w:r>
              <w:rPr>
                <w:rFonts w:hint="eastAsia" w:ascii="Calibri" w:hAnsi="Calibri" w:eastAsia="宋体" w:cs="Times New Roman"/>
                <w:color w:val="auto"/>
              </w:rPr>
              <w:t>（含版次）</w:t>
            </w:r>
          </w:p>
        </w:tc>
        <w:tc>
          <w:tcPr>
            <w:tcW w:w="3259" w:type="dxa"/>
            <w:gridSpan w:val="3"/>
            <w:noWrap w:val="0"/>
            <w:vAlign w:val="center"/>
          </w:tcPr>
          <w:p>
            <w:pPr>
              <w:ind w:right="113"/>
              <w:jc w:val="center"/>
              <w:rPr>
                <w:rFonts w:hint="eastAsia" w:ascii="宋体" w:hAnsi="宋体" w:eastAsia="宋体" w:cs="宋体"/>
                <w:color w:val="auto"/>
              </w:rPr>
            </w:pPr>
          </w:p>
        </w:tc>
        <w:tc>
          <w:tcPr>
            <w:tcW w:w="1274" w:type="dxa"/>
            <w:gridSpan w:val="3"/>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书号</w:t>
            </w:r>
          </w:p>
          <w:p>
            <w:pPr>
              <w:ind w:left="113" w:right="113"/>
              <w:jc w:val="center"/>
              <w:rPr>
                <w:rFonts w:ascii="宋体" w:hAnsi="宋体" w:eastAsia="宋体" w:cs="宋体"/>
                <w:color w:val="auto"/>
              </w:rPr>
            </w:pPr>
            <w:r>
              <w:rPr>
                <w:rFonts w:hint="eastAsia" w:ascii="Calibri" w:hAnsi="Calibri" w:eastAsia="宋体" w:cs="Times New Roman"/>
                <w:color w:val="auto"/>
              </w:rPr>
              <w:t>I</w:t>
            </w:r>
            <w:r>
              <w:rPr>
                <w:rFonts w:ascii="Calibri" w:hAnsi="Calibri" w:eastAsia="宋体" w:cs="Times New Roman"/>
                <w:color w:val="auto"/>
              </w:rPr>
              <w:t>SBN</w:t>
            </w:r>
          </w:p>
        </w:tc>
        <w:tc>
          <w:tcPr>
            <w:tcW w:w="3262" w:type="dxa"/>
            <w:gridSpan w:val="7"/>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473" w:type="dxa"/>
            <w:gridSpan w:val="2"/>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出版单位</w:t>
            </w:r>
          </w:p>
        </w:tc>
        <w:tc>
          <w:tcPr>
            <w:tcW w:w="3259" w:type="dxa"/>
            <w:gridSpan w:val="3"/>
            <w:noWrap w:val="0"/>
            <w:vAlign w:val="center"/>
          </w:tcPr>
          <w:p>
            <w:pPr>
              <w:jc w:val="center"/>
              <w:rPr>
                <w:rFonts w:ascii="Calibri" w:hAnsi="Calibri" w:eastAsia="宋体" w:cs="Times New Roman"/>
                <w:color w:val="auto"/>
              </w:rPr>
            </w:pPr>
          </w:p>
        </w:tc>
        <w:tc>
          <w:tcPr>
            <w:tcW w:w="1274" w:type="dxa"/>
            <w:gridSpan w:val="3"/>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出版时间</w:t>
            </w:r>
          </w:p>
        </w:tc>
        <w:tc>
          <w:tcPr>
            <w:tcW w:w="1261" w:type="dxa"/>
            <w:gridSpan w:val="4"/>
            <w:noWrap w:val="0"/>
            <w:vAlign w:val="center"/>
          </w:tcPr>
          <w:p>
            <w:pPr>
              <w:jc w:val="center"/>
              <w:rPr>
                <w:rFonts w:ascii="Calibri" w:hAnsi="Calibri" w:eastAsia="宋体" w:cs="Times New Roman"/>
                <w:color w:val="auto"/>
              </w:rPr>
            </w:pPr>
          </w:p>
        </w:tc>
        <w:tc>
          <w:tcPr>
            <w:tcW w:w="941" w:type="dxa"/>
            <w:gridSpan w:val="2"/>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主编</w:t>
            </w:r>
          </w:p>
        </w:tc>
        <w:tc>
          <w:tcPr>
            <w:tcW w:w="1060" w:type="dxa"/>
            <w:noWrap w:val="0"/>
            <w:vAlign w:val="center"/>
          </w:tcPr>
          <w:p>
            <w:pPr>
              <w:jc w:val="cente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1473" w:type="dxa"/>
            <w:gridSpan w:val="2"/>
            <w:noWrap w:val="0"/>
            <w:vAlign w:val="center"/>
          </w:tcPr>
          <w:p>
            <w:pPr>
              <w:jc w:val="center"/>
              <w:rPr>
                <w:rFonts w:hint="eastAsia" w:ascii="Calibri" w:hAnsi="Calibri" w:eastAsia="宋体" w:cs="Times New Roman"/>
                <w:color w:val="auto"/>
              </w:rPr>
            </w:pPr>
            <w:r>
              <w:rPr>
                <w:rFonts w:hint="eastAsia" w:ascii="Calibri" w:hAnsi="Calibri" w:eastAsia="宋体" w:cs="Times New Roman"/>
                <w:color w:val="auto"/>
                <w:lang w:val="en-US" w:eastAsia="zh-CN"/>
              </w:rPr>
              <w:t>教材性质</w:t>
            </w:r>
          </w:p>
        </w:tc>
        <w:tc>
          <w:tcPr>
            <w:tcW w:w="5794" w:type="dxa"/>
            <w:gridSpan w:val="10"/>
            <w:noWrap w:val="0"/>
            <w:vAlign w:val="center"/>
          </w:tcPr>
          <w:p>
            <w:pPr>
              <w:jc w:val="center"/>
              <w:rPr>
                <w:rFonts w:ascii="Calibri" w:hAnsi="Calibri" w:eastAsia="宋体" w:cs="Times New Roman"/>
                <w:color w:val="auto"/>
              </w:rPr>
            </w:pPr>
            <w:r>
              <w:rPr>
                <w:rFonts w:hint="eastAsia" w:ascii="Calibri" w:hAnsi="Calibri" w:eastAsia="宋体" w:cs="Times New Roman"/>
                <w:color w:val="auto"/>
                <w:lang w:val="en-US" w:eastAsia="zh-CN"/>
              </w:rPr>
              <w:t xml:space="preserve"> </w:t>
            </w:r>
            <w:r>
              <w:rPr>
                <w:rFonts w:hint="eastAsia" w:ascii="Calibri" w:hAnsi="Calibri" w:eastAsia="宋体" w:cs="Times New Roman"/>
                <w:color w:val="auto"/>
              </w:rPr>
              <w:t>教育部规划教材□</w:t>
            </w:r>
            <w:r>
              <w:rPr>
                <w:rFonts w:hint="eastAsia" w:ascii="Calibri" w:hAnsi="Calibri" w:eastAsia="宋体" w:cs="Times New Roman"/>
                <w:color w:val="auto"/>
                <w:lang w:val="en-US" w:eastAsia="zh-CN"/>
              </w:rPr>
              <w:t xml:space="preserve"> 教育部精品教材</w:t>
            </w:r>
            <w:r>
              <w:rPr>
                <w:rFonts w:hint="eastAsia" w:ascii="Calibri" w:hAnsi="Calibri" w:eastAsia="宋体" w:cs="Times New Roman"/>
                <w:color w:val="auto"/>
                <w:lang w:eastAsia="zh-CN"/>
              </w:rPr>
              <w:t>□</w:t>
            </w:r>
            <w:r>
              <w:rPr>
                <w:rFonts w:hint="eastAsia" w:ascii="Calibri" w:hAnsi="Calibri" w:eastAsia="宋体" w:cs="Times New Roman"/>
                <w:color w:val="auto"/>
                <w:lang w:val="en-US" w:eastAsia="zh-CN"/>
              </w:rPr>
              <w:t xml:space="preserve"> 行业部委统编教材</w:t>
            </w:r>
            <w:r>
              <w:rPr>
                <w:rFonts w:hint="eastAsia" w:ascii="Calibri" w:hAnsi="Calibri" w:eastAsia="宋体" w:cs="Times New Roman"/>
                <w:color w:val="auto"/>
                <w:lang w:eastAsia="zh-CN"/>
              </w:rPr>
              <w:t>□</w:t>
            </w:r>
            <w:r>
              <w:rPr>
                <w:rFonts w:hint="eastAsia" w:ascii="Calibri" w:hAnsi="Calibri" w:eastAsia="宋体" w:cs="Times New Roman"/>
                <w:color w:val="auto"/>
                <w:lang w:val="en-US" w:eastAsia="zh-CN"/>
              </w:rPr>
              <w:t xml:space="preserve"> 校企合作开发教材</w:t>
            </w:r>
            <w:r>
              <w:rPr>
                <w:rFonts w:hint="eastAsia" w:ascii="Calibri" w:hAnsi="Calibri" w:eastAsia="宋体" w:cs="Times New Roman"/>
                <w:color w:val="auto"/>
              </w:rPr>
              <w:t>□</w:t>
            </w:r>
            <w:r>
              <w:rPr>
                <w:rFonts w:hint="eastAsia" w:ascii="Calibri" w:hAnsi="Calibri" w:eastAsia="宋体" w:cs="Times New Roman"/>
                <w:color w:val="auto"/>
                <w:lang w:val="en-US" w:eastAsia="zh-CN"/>
              </w:rPr>
              <w:t xml:space="preserve"> 自编教材</w:t>
            </w:r>
            <w:r>
              <w:rPr>
                <w:rFonts w:hint="eastAsia" w:ascii="Calibri" w:hAnsi="Calibri" w:eastAsia="宋体" w:cs="Times New Roman"/>
                <w:color w:val="auto"/>
              </w:rPr>
              <w:t>□</w:t>
            </w:r>
            <w:r>
              <w:rPr>
                <w:rFonts w:hint="eastAsia" w:ascii="Calibri" w:hAnsi="Calibri" w:eastAsia="宋体" w:cs="Times New Roman"/>
                <w:color w:val="auto"/>
                <w:lang w:val="en-US" w:eastAsia="zh-CN"/>
              </w:rPr>
              <w:t xml:space="preserve"> 讲义</w:t>
            </w:r>
            <w:r>
              <w:rPr>
                <w:rFonts w:hint="eastAsia" w:ascii="Calibri" w:hAnsi="Calibri" w:eastAsia="宋体" w:cs="Times New Roman"/>
                <w:color w:val="auto"/>
              </w:rPr>
              <w:t>□</w:t>
            </w:r>
            <w:r>
              <w:rPr>
                <w:rFonts w:hint="eastAsia" w:ascii="Calibri" w:hAnsi="Calibri" w:eastAsia="宋体" w:cs="Times New Roman"/>
                <w:color w:val="auto"/>
                <w:lang w:val="en-US" w:eastAsia="zh-CN"/>
              </w:rPr>
              <w:t>其他</w:t>
            </w:r>
            <w:r>
              <w:rPr>
                <w:rFonts w:hint="eastAsia" w:ascii="Calibri" w:hAnsi="Calibri" w:eastAsia="宋体" w:cs="Times New Roman"/>
                <w:color w:val="auto"/>
                <w:lang w:eastAsia="zh-CN"/>
              </w:rPr>
              <w:t>□</w:t>
            </w:r>
          </w:p>
        </w:tc>
        <w:tc>
          <w:tcPr>
            <w:tcW w:w="941" w:type="dxa"/>
            <w:gridSpan w:val="2"/>
            <w:noWrap w:val="0"/>
            <w:vAlign w:val="center"/>
          </w:tcPr>
          <w:p>
            <w:pPr>
              <w:jc w:val="center"/>
              <w:rPr>
                <w:rFonts w:hint="eastAsia" w:ascii="Calibri" w:hAnsi="Calibri" w:eastAsia="宋体" w:cs="Times New Roman"/>
                <w:color w:val="auto"/>
              </w:rPr>
            </w:pPr>
            <w:r>
              <w:rPr>
                <w:rFonts w:hint="eastAsia" w:ascii="Calibri" w:hAnsi="Calibri" w:eastAsia="宋体" w:cs="Times New Roman"/>
                <w:color w:val="auto"/>
                <w:lang w:val="en-US" w:eastAsia="zh-CN"/>
              </w:rPr>
              <w:t>是否考证教材</w:t>
            </w:r>
          </w:p>
        </w:tc>
        <w:tc>
          <w:tcPr>
            <w:tcW w:w="1060"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是□</w:t>
            </w:r>
          </w:p>
          <w:p>
            <w:pPr>
              <w:jc w:val="center"/>
              <w:rPr>
                <w:rFonts w:ascii="Calibri" w:hAnsi="Calibri" w:eastAsia="宋体" w:cs="Times New Roman"/>
                <w:color w:val="auto"/>
              </w:rPr>
            </w:pPr>
            <w:r>
              <w:rPr>
                <w:rFonts w:hint="eastAsia" w:ascii="Calibri" w:hAnsi="Calibri" w:eastAsia="宋体"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473" w:type="dxa"/>
            <w:gridSpan w:val="2"/>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教材类型</w:t>
            </w:r>
          </w:p>
        </w:tc>
        <w:tc>
          <w:tcPr>
            <w:tcW w:w="3259" w:type="dxa"/>
            <w:gridSpan w:val="3"/>
            <w:noWrap w:val="0"/>
            <w:vAlign w:val="center"/>
          </w:tcPr>
          <w:p>
            <w:pPr>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高职高专</w:t>
            </w:r>
            <w:r>
              <w:rPr>
                <w:rFonts w:hint="eastAsia" w:ascii="Calibri" w:hAnsi="Calibri" w:eastAsia="宋体" w:cs="Times New Roman"/>
                <w:color w:val="auto"/>
                <w:lang w:eastAsia="zh-CN"/>
              </w:rPr>
              <w:t>□</w:t>
            </w:r>
            <w:r>
              <w:rPr>
                <w:rFonts w:hint="eastAsia" w:ascii="Calibri" w:hAnsi="Calibri" w:eastAsia="宋体" w:cs="Times New Roman"/>
                <w:color w:val="auto"/>
              </w:rPr>
              <w:t xml:space="preserve"> </w:t>
            </w:r>
            <w:r>
              <w:rPr>
                <w:rFonts w:hint="eastAsia" w:ascii="Calibri" w:hAnsi="Calibri" w:eastAsia="宋体" w:cs="Times New Roman"/>
                <w:color w:val="auto"/>
                <w:lang w:val="en-US" w:eastAsia="zh-CN"/>
              </w:rPr>
              <w:t>本科及以上</w:t>
            </w:r>
            <w:r>
              <w:rPr>
                <w:rFonts w:hint="eastAsia" w:ascii="Calibri" w:hAnsi="Calibri" w:eastAsia="宋体" w:cs="Times New Roman"/>
                <w:color w:val="auto"/>
                <w:lang w:eastAsia="zh-CN"/>
              </w:rPr>
              <w:t>□</w:t>
            </w:r>
          </w:p>
          <w:p>
            <w:pPr>
              <w:jc w:val="center"/>
              <w:rPr>
                <w:rFonts w:hint="eastAsia" w:ascii="Calibri" w:hAnsi="Calibri" w:eastAsia="宋体" w:cs="Times New Roman"/>
                <w:color w:val="auto"/>
              </w:rPr>
            </w:pPr>
            <w:r>
              <w:rPr>
                <w:rFonts w:hint="eastAsia" w:ascii="Calibri" w:hAnsi="Calibri" w:eastAsia="宋体" w:cs="Times New Roman"/>
                <w:color w:val="auto"/>
                <w:lang w:val="en-US" w:eastAsia="zh-CN"/>
              </w:rPr>
              <w:t>其他</w:t>
            </w:r>
            <w:r>
              <w:rPr>
                <w:rFonts w:hint="eastAsia" w:ascii="Calibri" w:hAnsi="Calibri" w:eastAsia="宋体" w:cs="Times New Roman"/>
                <w:color w:val="auto"/>
                <w:lang w:eastAsia="zh-CN"/>
              </w:rPr>
              <w:t>□</w:t>
            </w:r>
          </w:p>
          <w:p>
            <w:pPr>
              <w:rPr>
                <w:rFonts w:ascii="Calibri" w:hAnsi="Calibri" w:eastAsia="宋体" w:cs="Times New Roman"/>
                <w:color w:val="auto"/>
              </w:rPr>
            </w:pPr>
          </w:p>
          <w:p>
            <w:pPr>
              <w:jc w:val="center"/>
              <w:rPr>
                <w:rFonts w:ascii="Calibri" w:hAnsi="Calibri" w:eastAsia="宋体" w:cs="Times New Roman"/>
                <w:color w:val="auto"/>
              </w:rPr>
            </w:pPr>
          </w:p>
        </w:tc>
        <w:tc>
          <w:tcPr>
            <w:tcW w:w="3476" w:type="dxa"/>
            <w:gridSpan w:val="9"/>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是否为“马工程”教材</w:t>
            </w:r>
          </w:p>
        </w:tc>
        <w:tc>
          <w:tcPr>
            <w:tcW w:w="1060"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是□</w:t>
            </w:r>
          </w:p>
          <w:p>
            <w:pPr>
              <w:jc w:val="center"/>
              <w:rPr>
                <w:rFonts w:ascii="Calibri" w:hAnsi="Calibri" w:eastAsia="宋体" w:cs="Times New Roman"/>
                <w:color w:val="auto"/>
              </w:rPr>
            </w:pPr>
            <w:r>
              <w:rPr>
                <w:rFonts w:hint="eastAsia" w:ascii="Calibri" w:hAnsi="Calibri" w:eastAsia="宋体"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764" w:type="dxa"/>
            <w:noWrap w:val="0"/>
            <w:vAlign w:val="center"/>
          </w:tcPr>
          <w:p>
            <w:pPr>
              <w:jc w:val="center"/>
              <w:rPr>
                <w:rFonts w:ascii="Calibri" w:hAnsi="Calibri" w:eastAsia="宋体" w:cs="Times New Roman"/>
                <w:b/>
                <w:bCs/>
                <w:color w:val="auto"/>
                <w:sz w:val="21"/>
                <w:szCs w:val="21"/>
              </w:rPr>
            </w:pPr>
            <w:r>
              <w:rPr>
                <w:rFonts w:hint="eastAsia" w:ascii="Calibri" w:hAnsi="Calibri" w:eastAsia="宋体" w:cs="Times New Roman"/>
                <w:b/>
                <w:bCs/>
                <w:color w:val="auto"/>
                <w:sz w:val="21"/>
                <w:szCs w:val="21"/>
              </w:rPr>
              <w:t>项目</w:t>
            </w:r>
          </w:p>
        </w:tc>
        <w:tc>
          <w:tcPr>
            <w:tcW w:w="709" w:type="dxa"/>
            <w:noWrap w:val="0"/>
            <w:vAlign w:val="center"/>
          </w:tcPr>
          <w:p>
            <w:pPr>
              <w:jc w:val="center"/>
              <w:rPr>
                <w:rFonts w:ascii="Calibri" w:hAnsi="Calibri" w:eastAsia="宋体" w:cs="Times New Roman"/>
                <w:color w:val="auto"/>
                <w:sz w:val="21"/>
                <w:szCs w:val="21"/>
              </w:rPr>
            </w:pPr>
            <w:r>
              <w:rPr>
                <w:rFonts w:hint="eastAsia" w:ascii="宋体" w:hAnsi="宋体" w:eastAsia="宋体" w:cs="宋体"/>
                <w:b/>
                <w:bCs/>
                <w:color w:val="auto"/>
                <w:sz w:val="21"/>
                <w:szCs w:val="21"/>
              </w:rPr>
              <w:t>序号</w:t>
            </w:r>
          </w:p>
        </w:tc>
        <w:tc>
          <w:tcPr>
            <w:tcW w:w="4905" w:type="dxa"/>
            <w:gridSpan w:val="7"/>
            <w:noWrap w:val="0"/>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1374" w:type="dxa"/>
            <w:gridSpan w:val="4"/>
            <w:noWrap w:val="0"/>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教材选用人</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自评（符合/不符合）</w:t>
            </w:r>
          </w:p>
        </w:tc>
        <w:tc>
          <w:tcPr>
            <w:tcW w:w="1516" w:type="dxa"/>
            <w:gridSpan w:val="2"/>
            <w:noWrap w:val="0"/>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教研室评定（符合/不符合）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764" w:type="dxa"/>
            <w:vMerge w:val="restart"/>
            <w:noWrap w:val="0"/>
            <w:vAlign w:val="center"/>
          </w:tcPr>
          <w:p>
            <w:pPr>
              <w:ind w:left="113" w:right="113"/>
              <w:rPr>
                <w:rFonts w:ascii="Calibri" w:hAnsi="Calibri" w:eastAsia="宋体" w:cs="Times New Roman"/>
                <w:color w:val="auto"/>
              </w:rPr>
            </w:pPr>
            <w:r>
              <w:rPr>
                <w:rFonts w:hint="eastAsia" w:ascii="宋体" w:hAnsi="宋体" w:eastAsia="宋体" w:cs="宋体"/>
                <w:color w:val="auto"/>
              </w:rPr>
              <w:t>思想政治审查</w:t>
            </w:r>
          </w:p>
        </w:tc>
        <w:tc>
          <w:tcPr>
            <w:tcW w:w="709"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1</w:t>
            </w:r>
          </w:p>
        </w:tc>
        <w:tc>
          <w:tcPr>
            <w:tcW w:w="4905" w:type="dxa"/>
            <w:gridSpan w:val="7"/>
            <w:noWrap w:val="0"/>
            <w:vAlign w:val="center"/>
          </w:tcPr>
          <w:p>
            <w:pPr>
              <w:spacing w:line="2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政治思想观点正确，符合党和国家的各项方针、政策、法律、法规；体现辩证唯物</w:t>
            </w:r>
            <w:r>
              <w:rPr>
                <w:rFonts w:hint="eastAsia" w:ascii="宋体" w:hAnsi="宋体" w:eastAsia="宋体" w:cs="宋体"/>
                <w:color w:val="auto"/>
                <w:sz w:val="21"/>
                <w:szCs w:val="21"/>
                <w:lang w:val="en-US" w:eastAsia="zh-CN"/>
              </w:rPr>
              <w:t>主义</w:t>
            </w:r>
            <w:r>
              <w:rPr>
                <w:rFonts w:hint="eastAsia" w:ascii="宋体" w:hAnsi="宋体" w:eastAsia="宋体" w:cs="宋体"/>
                <w:color w:val="auto"/>
                <w:sz w:val="21"/>
                <w:szCs w:val="21"/>
              </w:rPr>
              <w:t>和历史唯物主义思想，有利于树立正确的世界观、人生观和价值观，弘扬爱国主义和民族精神</w:t>
            </w:r>
            <w:r>
              <w:rPr>
                <w:rFonts w:hint="eastAsia" w:ascii="宋体" w:hAnsi="宋体" w:eastAsia="宋体" w:cs="宋体"/>
                <w:color w:val="auto"/>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64" w:type="dxa"/>
            <w:vMerge w:val="continue"/>
            <w:noWrap w:val="0"/>
            <w:vAlign w:val="center"/>
          </w:tcPr>
          <w:p>
            <w:pPr>
              <w:rPr>
                <w:rFonts w:ascii="Calibri" w:hAnsi="Calibri" w:eastAsia="宋体" w:cs="Times New Roman"/>
                <w:color w:val="auto"/>
              </w:rPr>
            </w:pPr>
          </w:p>
        </w:tc>
        <w:tc>
          <w:tcPr>
            <w:tcW w:w="709"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2</w:t>
            </w:r>
          </w:p>
        </w:tc>
        <w:tc>
          <w:tcPr>
            <w:tcW w:w="4905" w:type="dxa"/>
            <w:gridSpan w:val="7"/>
            <w:noWrap w:val="0"/>
            <w:vAlign w:val="center"/>
          </w:tcPr>
          <w:p>
            <w:pPr>
              <w:pStyle w:val="8"/>
              <w:widowControl/>
              <w:spacing w:beforeAutospacing="0" w:afterAutospacing="0" w:line="260" w:lineRule="exact"/>
              <w:jc w:val="both"/>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从中华优秀传统文化、革命传统教育、国家和国民形象、民族宗教关系、选文选材价值导向等方面坚持正确政治方向，全面落实社会主义核心价值观</w:t>
            </w:r>
            <w:r>
              <w:rPr>
                <w:rFonts w:hint="eastAsia" w:ascii="宋体" w:hAnsi="宋体" w:eastAsia="宋体" w:cs="宋体"/>
                <w:color w:val="auto"/>
                <w:kern w:val="2"/>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64" w:type="dxa"/>
            <w:vMerge w:val="continue"/>
            <w:noWrap w:val="0"/>
            <w:vAlign w:val="center"/>
          </w:tcPr>
          <w:p>
            <w:pPr>
              <w:rPr>
                <w:rFonts w:ascii="Calibri" w:hAnsi="Calibri" w:eastAsia="宋体" w:cs="Times New Roman"/>
                <w:color w:val="auto"/>
              </w:rPr>
            </w:pPr>
          </w:p>
        </w:tc>
        <w:tc>
          <w:tcPr>
            <w:tcW w:w="709" w:type="dxa"/>
            <w:noWrap w:val="0"/>
            <w:vAlign w:val="center"/>
          </w:tcPr>
          <w:p>
            <w:pPr>
              <w:jc w:val="center"/>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rPr>
              <w:t>3</w:t>
            </w:r>
          </w:p>
        </w:tc>
        <w:tc>
          <w:tcPr>
            <w:tcW w:w="4905" w:type="dxa"/>
            <w:gridSpan w:val="7"/>
            <w:noWrap w:val="0"/>
            <w:vAlign w:val="center"/>
          </w:tcPr>
          <w:p>
            <w:pPr>
              <w:pStyle w:val="8"/>
              <w:widowControl/>
              <w:spacing w:beforeAutospacing="0" w:afterAutospacing="0" w:line="26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rPr>
              <w:t>教材中出现拓展引文、数据图表、历史地理图文、案例等内容科学准确，具有权威性，有据可循</w:t>
            </w:r>
            <w:r>
              <w:rPr>
                <w:rFonts w:hint="eastAsia" w:ascii="宋体" w:hAnsi="宋体" w:eastAsia="宋体" w:cs="宋体"/>
                <w:color w:val="auto"/>
                <w:kern w:val="2"/>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64" w:type="dxa"/>
            <w:vMerge w:val="continue"/>
            <w:noWrap w:val="0"/>
            <w:vAlign w:val="center"/>
          </w:tcPr>
          <w:p>
            <w:pPr>
              <w:rPr>
                <w:rFonts w:ascii="Calibri" w:hAnsi="Calibri" w:eastAsia="宋体" w:cs="Times New Roman"/>
                <w:color w:val="auto"/>
              </w:rPr>
            </w:pPr>
          </w:p>
        </w:tc>
        <w:tc>
          <w:tcPr>
            <w:tcW w:w="709" w:type="dxa"/>
            <w:noWrap w:val="0"/>
            <w:vAlign w:val="center"/>
          </w:tcPr>
          <w:p>
            <w:pPr>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4</w:t>
            </w:r>
          </w:p>
        </w:tc>
        <w:tc>
          <w:tcPr>
            <w:tcW w:w="4905" w:type="dxa"/>
            <w:gridSpan w:val="7"/>
            <w:noWrap w:val="0"/>
            <w:vAlign w:val="center"/>
          </w:tcPr>
          <w:p>
            <w:pPr>
              <w:pStyle w:val="8"/>
              <w:widowControl/>
              <w:spacing w:beforeAutospacing="0" w:afterAutospacing="0" w:line="260" w:lineRule="exact"/>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促进学生全面而有个性的发展，致力于培养具有文化底蕴、国际视野，担当民族复兴大任的时代新人</w:t>
            </w:r>
            <w:r>
              <w:rPr>
                <w:rFonts w:hint="eastAsia" w:ascii="宋体" w:hAnsi="宋体" w:eastAsia="宋体" w:cs="宋体"/>
                <w:color w:val="auto"/>
                <w:kern w:val="2"/>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764" w:type="dxa"/>
            <w:vMerge w:val="restart"/>
            <w:noWrap w:val="0"/>
            <w:vAlign w:val="center"/>
          </w:tcPr>
          <w:p>
            <w:pPr>
              <w:ind w:left="113" w:right="113"/>
              <w:rPr>
                <w:rFonts w:ascii="Calibri" w:hAnsi="Calibri" w:eastAsia="宋体" w:cs="Times New Roman"/>
                <w:color w:val="auto"/>
              </w:rPr>
            </w:pPr>
            <w:r>
              <w:rPr>
                <w:rFonts w:hint="eastAsia" w:ascii="宋体" w:hAnsi="宋体" w:eastAsia="宋体" w:cs="宋体"/>
                <w:color w:val="auto"/>
                <w:lang w:val="en-US" w:eastAsia="zh-CN"/>
              </w:rPr>
              <w:t>专业</w:t>
            </w:r>
            <w:r>
              <w:rPr>
                <w:rFonts w:hint="eastAsia" w:ascii="宋体" w:hAnsi="宋体" w:eastAsia="宋体" w:cs="宋体"/>
                <w:color w:val="auto"/>
              </w:rPr>
              <w:t>科学性审查</w:t>
            </w:r>
          </w:p>
        </w:tc>
        <w:tc>
          <w:tcPr>
            <w:tcW w:w="709"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1</w:t>
            </w:r>
          </w:p>
        </w:tc>
        <w:tc>
          <w:tcPr>
            <w:tcW w:w="4905" w:type="dxa"/>
            <w:gridSpan w:val="7"/>
            <w:noWrap w:val="0"/>
            <w:vAlign w:val="center"/>
          </w:tcPr>
          <w:p>
            <w:pPr>
              <w:pStyle w:val="8"/>
              <w:widowControl/>
              <w:spacing w:beforeAutospacing="0" w:afterAutospacing="0" w:line="260" w:lineRule="exac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符合人才培养方案中制定的课程标准，</w:t>
            </w:r>
            <w:r>
              <w:rPr>
                <w:rFonts w:hint="eastAsia" w:ascii="宋体" w:hAnsi="宋体" w:eastAsia="宋体" w:cs="宋体"/>
                <w:color w:val="auto"/>
                <w:sz w:val="21"/>
                <w:szCs w:val="21"/>
              </w:rPr>
              <w:t>完整地表达本课程应包含的知识与技能，理论联系实际，与其它课程相互配合协调；能正确严谨地阐述科学理论，概念或技能训练的方法，要领</w:t>
            </w:r>
            <w:r>
              <w:rPr>
                <w:rFonts w:hint="eastAsia" w:ascii="宋体" w:hAnsi="宋体" w:eastAsia="宋体" w:cs="宋体"/>
                <w:color w:val="auto"/>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4" w:type="dxa"/>
            <w:vMerge w:val="continue"/>
            <w:noWrap w:val="0"/>
            <w:vAlign w:val="center"/>
          </w:tcPr>
          <w:p>
            <w:pPr>
              <w:rPr>
                <w:rFonts w:ascii="Calibri" w:hAnsi="Calibri" w:eastAsia="宋体" w:cs="Times New Roman"/>
                <w:color w:val="auto"/>
              </w:rPr>
            </w:pPr>
          </w:p>
        </w:tc>
        <w:tc>
          <w:tcPr>
            <w:tcW w:w="709" w:type="dxa"/>
            <w:noWrap w:val="0"/>
            <w:vAlign w:val="center"/>
          </w:tcPr>
          <w:p>
            <w:pPr>
              <w:jc w:val="center"/>
              <w:rPr>
                <w:rFonts w:ascii="Calibri" w:hAnsi="Calibri" w:eastAsia="宋体" w:cs="Times New Roman"/>
                <w:color w:val="auto"/>
              </w:rPr>
            </w:pPr>
            <w:r>
              <w:rPr>
                <w:rFonts w:hint="eastAsia" w:ascii="Calibri" w:hAnsi="Calibri" w:eastAsia="宋体" w:cs="Times New Roman"/>
                <w:color w:val="auto"/>
              </w:rPr>
              <w:t>2</w:t>
            </w:r>
          </w:p>
        </w:tc>
        <w:tc>
          <w:tcPr>
            <w:tcW w:w="4905" w:type="dxa"/>
            <w:gridSpan w:val="7"/>
            <w:noWrap w:val="0"/>
            <w:vAlign w:val="center"/>
          </w:tcPr>
          <w:p>
            <w:pPr>
              <w:spacing w:line="2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教材内容反映新知识、新技术、新工艺、新方法，贯彻国家职业标准，</w:t>
            </w:r>
            <w:r>
              <w:rPr>
                <w:rFonts w:hint="eastAsia" w:ascii="宋体" w:hAnsi="宋体" w:eastAsia="宋体" w:cs="宋体"/>
                <w:color w:val="auto"/>
                <w:sz w:val="21"/>
                <w:szCs w:val="21"/>
                <w:lang w:val="en-US" w:eastAsia="zh-CN"/>
              </w:rPr>
              <w:t>反映“岗课赛证”相互融通，</w:t>
            </w:r>
            <w:r>
              <w:rPr>
                <w:rFonts w:hint="eastAsia" w:ascii="宋体" w:hAnsi="宋体" w:eastAsia="宋体" w:cs="宋体"/>
                <w:color w:val="auto"/>
                <w:sz w:val="21"/>
                <w:szCs w:val="21"/>
              </w:rPr>
              <w:t>体现教学研究与改革的成果</w:t>
            </w:r>
            <w:r>
              <w:rPr>
                <w:rFonts w:hint="eastAsia" w:ascii="宋体" w:hAnsi="宋体" w:eastAsia="宋体" w:cs="宋体"/>
                <w:color w:val="auto"/>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64" w:type="dxa"/>
            <w:vMerge w:val="continue"/>
            <w:noWrap w:val="0"/>
            <w:vAlign w:val="center"/>
          </w:tcPr>
          <w:p>
            <w:pPr>
              <w:rPr>
                <w:rFonts w:ascii="Calibri" w:hAnsi="Calibri" w:eastAsia="宋体" w:cs="Times New Roman"/>
                <w:color w:val="auto"/>
              </w:rPr>
            </w:pPr>
          </w:p>
        </w:tc>
        <w:tc>
          <w:tcPr>
            <w:tcW w:w="709" w:type="dxa"/>
            <w:noWrap w:val="0"/>
            <w:vAlign w:val="center"/>
          </w:tcPr>
          <w:p>
            <w:pPr>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3</w:t>
            </w:r>
          </w:p>
        </w:tc>
        <w:tc>
          <w:tcPr>
            <w:tcW w:w="4905" w:type="dxa"/>
            <w:gridSpan w:val="7"/>
            <w:noWrap w:val="0"/>
            <w:vAlign w:val="center"/>
          </w:tcPr>
          <w:p>
            <w:pPr>
              <w:pStyle w:val="8"/>
              <w:widowControl/>
              <w:spacing w:beforeAutospacing="0" w:afterAutospacing="0" w:line="260" w:lineRule="exact"/>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知识与技能训练内容结合紧密，技能训练针对性强；符合技术技能人才培养目标的要求</w:t>
            </w:r>
            <w:r>
              <w:rPr>
                <w:rFonts w:hint="eastAsia" w:ascii="宋体" w:hAnsi="宋体" w:eastAsia="宋体" w:cs="宋体"/>
                <w:color w:val="auto"/>
                <w:sz w:val="21"/>
                <w:szCs w:val="21"/>
                <w:lang w:eastAsia="zh-CN"/>
              </w:rPr>
              <w:t>。</w:t>
            </w:r>
          </w:p>
        </w:tc>
        <w:tc>
          <w:tcPr>
            <w:tcW w:w="1374" w:type="dxa"/>
            <w:gridSpan w:val="4"/>
            <w:noWrap w:val="0"/>
            <w:vAlign w:val="top"/>
          </w:tcPr>
          <w:p>
            <w:pPr>
              <w:rPr>
                <w:rFonts w:ascii="Calibri" w:hAnsi="Calibri" w:eastAsia="宋体" w:cs="Times New Roman"/>
                <w:color w:val="auto"/>
              </w:rPr>
            </w:pPr>
          </w:p>
        </w:tc>
        <w:tc>
          <w:tcPr>
            <w:tcW w:w="1516" w:type="dxa"/>
            <w:gridSpan w:val="2"/>
            <w:noWrap w:val="0"/>
            <w:vAlign w:val="top"/>
          </w:tcPr>
          <w:p>
            <w:pPr>
              <w:rPr>
                <w:rFonts w:ascii="Calibri" w:hAnsi="Calibri"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64" w:type="dxa"/>
            <w:vMerge w:val="continue"/>
            <w:noWrap w:val="0"/>
            <w:vAlign w:val="center"/>
          </w:tcPr>
          <w:p>
            <w:pPr>
              <w:rPr>
                <w:rFonts w:ascii="Calibri" w:hAnsi="Calibri" w:eastAsia="宋体" w:cs="Times New Roman"/>
                <w:color w:val="auto"/>
              </w:rPr>
            </w:pPr>
          </w:p>
        </w:tc>
        <w:tc>
          <w:tcPr>
            <w:tcW w:w="2127" w:type="dxa"/>
            <w:gridSpan w:val="2"/>
            <w:noWrap w:val="0"/>
            <w:vAlign w:val="center"/>
          </w:tcPr>
          <w:p>
            <w:pPr>
              <w:jc w:val="center"/>
              <w:rPr>
                <w:rFonts w:ascii="Calibri" w:hAnsi="Calibri" w:eastAsia="宋体" w:cs="Times New Roman"/>
                <w:b/>
                <w:bCs/>
                <w:color w:val="auto"/>
              </w:rPr>
            </w:pPr>
            <w:r>
              <w:rPr>
                <w:rFonts w:hint="eastAsia" w:ascii="Calibri" w:hAnsi="Calibri" w:eastAsia="宋体" w:cs="Times New Roman"/>
                <w:b/>
                <w:bCs/>
                <w:color w:val="auto"/>
              </w:rPr>
              <w:t>教材选用人签字</w:t>
            </w:r>
          </w:p>
        </w:tc>
        <w:tc>
          <w:tcPr>
            <w:tcW w:w="2126" w:type="dxa"/>
            <w:gridSpan w:val="3"/>
            <w:noWrap w:val="0"/>
            <w:vAlign w:val="center"/>
          </w:tcPr>
          <w:p>
            <w:pPr>
              <w:pStyle w:val="8"/>
              <w:widowControl/>
              <w:spacing w:beforeAutospacing="0" w:afterAutospacing="0" w:line="260" w:lineRule="exact"/>
              <w:rPr>
                <w:rFonts w:ascii="宋体" w:hAnsi="宋体" w:eastAsia="宋体" w:cs="宋体"/>
                <w:color w:val="auto"/>
                <w:sz w:val="21"/>
                <w:szCs w:val="21"/>
              </w:rPr>
            </w:pPr>
          </w:p>
        </w:tc>
        <w:tc>
          <w:tcPr>
            <w:tcW w:w="2127" w:type="dxa"/>
            <w:gridSpan w:val="5"/>
            <w:noWrap w:val="0"/>
            <w:vAlign w:val="center"/>
          </w:tcPr>
          <w:p>
            <w:pPr>
              <w:jc w:val="center"/>
              <w:rPr>
                <w:rFonts w:ascii="Calibri" w:hAnsi="Calibri" w:eastAsia="宋体" w:cs="Times New Roman"/>
                <w:b/>
                <w:bCs/>
                <w:color w:val="auto"/>
              </w:rPr>
            </w:pPr>
            <w:r>
              <w:rPr>
                <w:rFonts w:hint="eastAsia" w:ascii="Calibri" w:hAnsi="Calibri" w:eastAsia="宋体" w:cs="Times New Roman"/>
                <w:b/>
                <w:bCs/>
                <w:color w:val="auto"/>
              </w:rPr>
              <w:t>教研室主任签字</w:t>
            </w:r>
          </w:p>
        </w:tc>
        <w:tc>
          <w:tcPr>
            <w:tcW w:w="2124" w:type="dxa"/>
            <w:gridSpan w:val="4"/>
            <w:noWrap w:val="0"/>
            <w:vAlign w:val="top"/>
          </w:tcPr>
          <w:p>
            <w:pPr>
              <w:rPr>
                <w:rFonts w:ascii="Calibri" w:hAnsi="Calibri" w:eastAsia="宋体" w:cs="Times New Roman"/>
                <w:color w:val="auto"/>
              </w:rPr>
            </w:pPr>
          </w:p>
        </w:tc>
      </w:tr>
    </w:tbl>
    <w:tbl>
      <w:tblPr>
        <w:tblStyle w:val="10"/>
        <w:tblpPr w:leftFromText="180" w:rightFromText="180" w:vertAnchor="text" w:horzAnchor="margin" w:tblpX="-352" w:tblpY="21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951" w:type="dxa"/>
            <w:noWrap w:val="0"/>
            <w:vAlign w:val="center"/>
          </w:tcPr>
          <w:p>
            <w:pPr>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二级教学单位</w:t>
            </w:r>
          </w:p>
          <w:p>
            <w:pPr>
              <w:jc w:val="center"/>
              <w:rPr>
                <w:rFonts w:ascii="宋体" w:hAnsi="宋体" w:eastAsia="宋体" w:cs="宋体"/>
                <w:color w:val="auto"/>
                <w:sz w:val="21"/>
                <w:szCs w:val="21"/>
              </w:rPr>
            </w:pPr>
            <w:r>
              <w:rPr>
                <w:rFonts w:hint="eastAsia" w:ascii="宋体" w:hAnsi="宋体" w:eastAsia="宋体" w:cs="宋体"/>
                <w:color w:val="auto"/>
                <w:sz w:val="28"/>
                <w:szCs w:val="28"/>
              </w:rPr>
              <w:t>党组织意见</w:t>
            </w:r>
          </w:p>
        </w:tc>
        <w:tc>
          <w:tcPr>
            <w:tcW w:w="7264" w:type="dxa"/>
            <w:noWrap w:val="0"/>
            <w:vAlign w:val="center"/>
          </w:tcPr>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jc w:val="left"/>
              <w:rPr>
                <w:rFonts w:ascii="宋体" w:hAnsi="宋体" w:eastAsia="宋体" w:cs="宋体"/>
                <w:color w:val="auto"/>
              </w:rPr>
            </w:pPr>
          </w:p>
          <w:p>
            <w:pPr>
              <w:ind w:firstLine="630" w:firstLineChars="3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二级教学单位                   二级党组织</w:t>
            </w:r>
          </w:p>
          <w:p>
            <w:pPr>
              <w:ind w:firstLine="840" w:firstLineChars="4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签字盖章                      签字盖章</w:t>
            </w:r>
          </w:p>
          <w:p>
            <w:pPr>
              <w:ind w:firstLine="630" w:firstLineChars="300"/>
              <w:jc w:val="left"/>
              <w:rPr>
                <w:rFonts w:hint="default" w:ascii="宋体" w:hAnsi="宋体" w:eastAsia="宋体" w:cs="宋体"/>
                <w:color w:val="auto"/>
                <w:lang w:val="en-US" w:eastAsia="zh-CN"/>
              </w:rPr>
            </w:pPr>
          </w:p>
          <w:p>
            <w:pPr>
              <w:jc w:val="left"/>
              <w:rPr>
                <w:rFonts w:ascii="宋体" w:hAnsi="宋体" w:eastAsia="宋体" w:cs="宋体"/>
                <w:color w:val="auto"/>
              </w:rPr>
            </w:pPr>
          </w:p>
          <w:p>
            <w:pPr>
              <w:ind w:right="706" w:rightChars="336" w:firstLine="840" w:firstLineChars="400"/>
              <w:jc w:val="right"/>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951" w:type="dxa"/>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8"/>
                <w:szCs w:val="28"/>
                <w:lang w:val="en-US" w:eastAsia="zh-CN"/>
              </w:rPr>
              <w:t>教务科研处审查意见</w:t>
            </w:r>
          </w:p>
        </w:tc>
        <w:tc>
          <w:tcPr>
            <w:tcW w:w="7264" w:type="dxa"/>
            <w:noWrap w:val="0"/>
            <w:vAlign w:val="center"/>
          </w:tcPr>
          <w:p>
            <w:pPr>
              <w:rPr>
                <w:rFonts w:ascii="宋体" w:hAnsi="宋体" w:eastAsia="宋体" w:cs="宋体"/>
                <w:color w:val="auto"/>
                <w:sz w:val="21"/>
                <w:szCs w:val="21"/>
              </w:rPr>
            </w:pPr>
          </w:p>
          <w:p>
            <w:pPr>
              <w:rPr>
                <w:rFonts w:ascii="宋体" w:hAnsi="宋体" w:eastAsia="宋体" w:cs="宋体"/>
                <w:color w:val="auto"/>
                <w:sz w:val="21"/>
                <w:szCs w:val="21"/>
              </w:rPr>
            </w:pPr>
          </w:p>
          <w:p>
            <w:pPr>
              <w:ind w:firstLine="3780" w:firstLineChars="1800"/>
              <w:jc w:val="left"/>
              <w:rPr>
                <w:rFonts w:ascii="宋体" w:hAnsi="宋体" w:eastAsia="宋体" w:cs="宋体"/>
                <w:color w:val="auto"/>
              </w:rPr>
            </w:pPr>
          </w:p>
          <w:p>
            <w:pPr>
              <w:ind w:firstLine="3780" w:firstLineChars="1800"/>
              <w:jc w:val="left"/>
              <w:rPr>
                <w:rFonts w:ascii="宋体" w:hAnsi="宋体" w:eastAsia="宋体" w:cs="宋体"/>
                <w:color w:val="auto"/>
              </w:rPr>
            </w:pPr>
          </w:p>
          <w:p>
            <w:pPr>
              <w:ind w:firstLine="3780" w:firstLineChars="1800"/>
              <w:jc w:val="left"/>
              <w:rPr>
                <w:rFonts w:ascii="宋体" w:hAnsi="宋体" w:eastAsia="宋体" w:cs="宋体"/>
                <w:color w:val="auto"/>
              </w:rPr>
            </w:pPr>
          </w:p>
          <w:p>
            <w:pPr>
              <w:ind w:firstLine="3780" w:firstLineChars="1800"/>
              <w:jc w:val="left"/>
              <w:rPr>
                <w:rFonts w:ascii="宋体" w:hAnsi="宋体" w:eastAsia="宋体" w:cs="宋体"/>
                <w:color w:val="auto"/>
              </w:rPr>
            </w:pPr>
          </w:p>
          <w:p>
            <w:pPr>
              <w:jc w:val="left"/>
              <w:rPr>
                <w:rFonts w:hint="eastAsia" w:ascii="宋体" w:hAnsi="宋体" w:eastAsia="宋体" w:cs="宋体"/>
                <w:color w:val="auto"/>
              </w:rPr>
            </w:pPr>
          </w:p>
          <w:p>
            <w:pPr>
              <w:jc w:val="left"/>
              <w:rPr>
                <w:rFonts w:ascii="宋体" w:hAnsi="宋体" w:eastAsia="宋体" w:cs="宋体"/>
                <w:color w:val="auto"/>
                <w:sz w:val="21"/>
                <w:szCs w:val="21"/>
              </w:rPr>
            </w:pPr>
            <w:r>
              <w:rPr>
                <w:rFonts w:hint="eastAsia" w:ascii="宋体" w:hAnsi="宋体" w:eastAsia="宋体" w:cs="宋体"/>
                <w:color w:val="auto"/>
              </w:rPr>
              <w:t xml:space="preserve">    </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951" w:type="dxa"/>
            <w:noWrap w:val="0"/>
            <w:vAlign w:val="center"/>
          </w:tcPr>
          <w:p>
            <w:pPr>
              <w:spacing w:line="36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党委宣传部审查意见</w:t>
            </w:r>
          </w:p>
        </w:tc>
        <w:tc>
          <w:tcPr>
            <w:tcW w:w="7264" w:type="dxa"/>
            <w:noWrap w:val="0"/>
            <w:vAlign w:val="center"/>
          </w:tcPr>
          <w:p>
            <w:pPr>
              <w:jc w:val="left"/>
              <w:rPr>
                <w:rFonts w:hint="eastAsia" w:ascii="宋体" w:hAnsi="宋体" w:eastAsia="宋体" w:cs="宋体"/>
                <w:color w:val="auto"/>
              </w:rPr>
            </w:pPr>
          </w:p>
        </w:tc>
      </w:tr>
    </w:tbl>
    <w:p>
      <w:pPr>
        <w:spacing w:line="480" w:lineRule="auto"/>
        <w:jc w:val="left"/>
        <w:rPr>
          <w:rFonts w:ascii="宋体" w:hAnsi="宋体" w:eastAsia="宋体" w:cs="宋体"/>
          <w:color w:val="auto"/>
          <w:u w:val="single"/>
        </w:rPr>
      </w:pPr>
      <w:r>
        <w:rPr>
          <w:rFonts w:hint="eastAsia" w:ascii="宋体" w:hAnsi="宋体" w:eastAsia="宋体" w:cs="宋体"/>
          <w:color w:val="auto"/>
          <w:u w:val="none"/>
          <w:lang w:val="en-US" w:eastAsia="zh-CN"/>
        </w:rPr>
        <w:t>备注：此表双面打印</w:t>
      </w:r>
    </w:p>
    <w:p>
      <w:pPr>
        <w:spacing w:line="480" w:lineRule="auto"/>
        <w:ind w:left="5040" w:firstLine="420"/>
        <w:rPr>
          <w:rFonts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80" w:lineRule="auto"/>
        <w:ind w:left="5040" w:firstLine="577" w:firstLineChars="275"/>
        <w:rPr>
          <w:rFonts w:ascii="仿宋_GB2312" w:eastAsia="仿宋_GB2312"/>
          <w:sz w:val="32"/>
          <w:szCs w:val="32"/>
        </w:rPr>
      </w:pPr>
      <w:r>
        <w:rPr>
          <w:rFonts w:hint="eastAsia" w:ascii="宋体" w:hAnsi="宋体" w:eastAsia="宋体" w:cs="宋体"/>
          <w:color w:val="auto"/>
          <w:lang w:val="en-US" w:eastAsia="zh-CN"/>
        </w:rPr>
        <w:t>福州软件</w:t>
      </w:r>
      <w:r>
        <w:rPr>
          <w:rFonts w:hint="eastAsia" w:ascii="宋体" w:hAnsi="宋体" w:eastAsia="宋体" w:cs="宋体"/>
          <w:color w:val="auto"/>
        </w:rPr>
        <w:t>职业技术学院</w:t>
      </w:r>
      <w:r>
        <w:rPr>
          <w:rFonts w:hint="eastAsia" w:ascii="仿宋" w:hAnsi="仿宋" w:eastAsia="仿宋" w:cs="宋体"/>
          <w:kern w:val="0"/>
          <w:sz w:val="32"/>
          <w:szCs w:val="32"/>
        </w:rPr>
        <w:t xml:space="preserve">         </w:t>
      </w:r>
      <w:r>
        <w:rPr>
          <w:rFonts w:hint="eastAsia" w:ascii="仿宋_GB2312" w:eastAsia="仿宋_GB2312"/>
          <w:sz w:val="32"/>
          <w:szCs w:val="32"/>
        </w:rPr>
        <w:t xml:space="preserve"> </w:t>
      </w:r>
    </w:p>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76692"/>
    <w:rsid w:val="00076692"/>
    <w:rsid w:val="000C56FF"/>
    <w:rsid w:val="00150525"/>
    <w:rsid w:val="001F42DB"/>
    <w:rsid w:val="00431A8A"/>
    <w:rsid w:val="00504E90"/>
    <w:rsid w:val="00605252"/>
    <w:rsid w:val="00775F53"/>
    <w:rsid w:val="008B2107"/>
    <w:rsid w:val="00CB23E3"/>
    <w:rsid w:val="00F376CF"/>
    <w:rsid w:val="00F93B27"/>
    <w:rsid w:val="10682374"/>
    <w:rsid w:val="1DFE4478"/>
    <w:rsid w:val="255D0DAA"/>
    <w:rsid w:val="26D33F8C"/>
    <w:rsid w:val="326E4ED8"/>
    <w:rsid w:val="355C2AFF"/>
    <w:rsid w:val="3AE52810"/>
    <w:rsid w:val="3C045946"/>
    <w:rsid w:val="45097FFF"/>
    <w:rsid w:val="485F1C44"/>
    <w:rsid w:val="5376540F"/>
    <w:rsid w:val="5A8C5BCD"/>
    <w:rsid w:val="5B182CE7"/>
    <w:rsid w:val="6F310562"/>
    <w:rsid w:val="7AC4066A"/>
    <w:rsid w:val="7E1D4E7A"/>
    <w:rsid w:val="7FEC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before="48"/>
      <w:ind w:left="7"/>
      <w:jc w:val="center"/>
      <w:outlineLvl w:val="1"/>
    </w:pPr>
    <w:rPr>
      <w:rFonts w:ascii="宋体" w:hAnsi="宋体" w:eastAsia="宋体" w:cs="宋体"/>
      <w:b/>
      <w:bCs/>
      <w:sz w:val="44"/>
      <w:szCs w:val="44"/>
    </w:rPr>
  </w:style>
  <w:style w:type="paragraph" w:styleId="5">
    <w:name w:val="heading 2"/>
    <w:basedOn w:val="1"/>
    <w:next w:val="1"/>
    <w:qFormat/>
    <w:uiPriority w:val="1"/>
    <w:pPr>
      <w:spacing w:before="48"/>
      <w:jc w:val="center"/>
      <w:outlineLvl w:val="2"/>
    </w:pPr>
    <w:rPr>
      <w:rFonts w:ascii="黑体" w:hAnsi="黑体" w:eastAsia="黑体" w:cs="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semiHidden/>
    <w:unhideWhenUsed/>
    <w:qFormat/>
    <w:uiPriority w:val="99"/>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kern w:val="2"/>
      <w:sz w:val="18"/>
      <w:szCs w:val="18"/>
    </w:rPr>
  </w:style>
  <w:style w:type="character" w:customStyle="1" w:styleId="13">
    <w:name w:val="页脚 字符"/>
    <w:basedOn w:val="11"/>
    <w:link w:val="6"/>
    <w:qFormat/>
    <w:uiPriority w:val="0"/>
    <w:rPr>
      <w:kern w:val="2"/>
      <w:sz w:val="18"/>
      <w:szCs w:val="18"/>
    </w:rPr>
  </w:style>
  <w:style w:type="paragraph" w:customStyle="1" w:styleId="14">
    <w:name w:val="11111"/>
    <w:basedOn w:val="1"/>
    <w:qFormat/>
    <w:uiPriority w:val="99"/>
    <w:pPr>
      <w:suppressAutoHyphens/>
      <w:spacing w:afterLines="100"/>
      <w:jc w:val="center"/>
      <w:outlineLvl w:val="1"/>
    </w:pPr>
    <w:rPr>
      <w:rFonts w:ascii="Times New Roman" w:hAnsi="Times New Roman" w:cs="Times New Roman"/>
      <w:b/>
      <w:bCs/>
      <w:kern w:val="2"/>
      <w:sz w:val="30"/>
      <w:szCs w:val="30"/>
    </w:rPr>
  </w:style>
  <w:style w:type="paragraph" w:customStyle="1" w:styleId="15">
    <w:name w:val="2222"/>
    <w:basedOn w:val="16"/>
    <w:qFormat/>
    <w:uiPriority w:val="99"/>
    <w:pPr>
      <w:ind w:firstLine="0" w:firstLineChars="0"/>
      <w:jc w:val="center"/>
    </w:pPr>
    <w:rPr>
      <w:b/>
    </w:rPr>
  </w:style>
  <w:style w:type="paragraph" w:customStyle="1" w:styleId="16">
    <w:name w:val="3333"/>
    <w:basedOn w:val="1"/>
    <w:qFormat/>
    <w:uiPriority w:val="99"/>
    <w:pPr>
      <w:ind w:firstLine="482" w:firstLineChars="200"/>
    </w:pPr>
    <w:rPr>
      <w:rFonts w:ascii="仿宋_GB2312" w:hAnsi="Times New Roman" w:eastAsia="仿宋_GB2312" w:cs="仿宋_GB2312"/>
      <w:kern w:val="2"/>
      <w:sz w:val="24"/>
      <w:szCs w:val="24"/>
    </w:rPr>
  </w:style>
  <w:style w:type="paragraph" w:customStyle="1" w:styleId="17">
    <w:name w:val="5555"/>
    <w:basedOn w:val="15"/>
    <w:qFormat/>
    <w:uiPriority w:val="0"/>
    <w:pPr>
      <w:spacing w:afterLines="5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5674</Words>
  <Characters>5731</Characters>
  <Lines>5</Lines>
  <Paragraphs>1</Paragraphs>
  <TotalTime>53</TotalTime>
  <ScaleCrop>false</ScaleCrop>
  <LinksUpToDate>false</LinksUpToDate>
  <CharactersWithSpaces>5921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2022-09-08T00:33:00Z</dcterms:created>
  <dc:creator>HP</dc:creator>
  <cp:lastModifiedBy>HP</cp:lastModifiedBy>
  <cp:lastPrinted>2022-10-12T07:20:11Z</cp:lastPrinted>
  <dcterms:modified xsi:type="dcterms:W3CDTF">2022-10-12T07:22:28Z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A20EAFEF60A147D3BF8AE111534BF344</vt:lpwstr>
  </property>
</Properties>
</file>