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both"/>
        <w:textAlignment w:val="auto"/>
        <w:rPr>
          <w:rFonts w:hint="default" w:ascii="仿宋" w:hAnsi="仿宋" w:eastAsia="仿宋" w:cs="仿宋"/>
          <w:kern w:val="0"/>
          <w:sz w:val="28"/>
          <w:szCs w:val="28"/>
          <w:lang w:val="en-US" w:eastAsia="zh-CN" w:bidi="ar-SA"/>
        </w:rPr>
      </w:pPr>
      <w:r>
        <w:rPr>
          <w:rFonts w:hint="eastAsia" w:ascii="仿宋" w:hAnsi="仿宋" w:eastAsia="仿宋" w:cs="仿宋"/>
          <w:kern w:val="0"/>
          <w:sz w:val="28"/>
          <w:szCs w:val="28"/>
          <w:lang w:val="en-US" w:eastAsia="zh-CN" w:bidi="ar-SA"/>
        </w:rPr>
        <w:t>附件5</w:t>
      </w:r>
    </w:p>
    <w:p>
      <w:pPr>
        <w:adjustRightInd w:val="0"/>
        <w:snapToGrid w:val="0"/>
        <w:spacing w:line="520" w:lineRule="exact"/>
        <w:jc w:val="center"/>
        <w:rPr>
          <w:rFonts w:hint="eastAsia" w:ascii="黑体" w:hAnsi="黑体" w:eastAsia="黑体"/>
          <w:sz w:val="36"/>
          <w:szCs w:val="36"/>
        </w:rPr>
      </w:pPr>
    </w:p>
    <w:p>
      <w:pPr>
        <w:adjustRightInd w:val="0"/>
        <w:snapToGrid w:val="0"/>
        <w:spacing w:line="520" w:lineRule="exact"/>
        <w:jc w:val="center"/>
        <w:rPr>
          <w:rFonts w:hint="eastAsia" w:ascii="宋体" w:hAnsi="宋体" w:eastAsia="宋体" w:cs="宋体"/>
          <w:b/>
          <w:bCs/>
          <w:sz w:val="36"/>
          <w:szCs w:val="36"/>
        </w:rPr>
      </w:pPr>
      <w:r>
        <w:rPr>
          <w:rFonts w:hint="eastAsia" w:ascii="宋体" w:hAnsi="宋体" w:eastAsia="宋体" w:cs="宋体"/>
          <w:b/>
          <w:bCs/>
          <w:sz w:val="36"/>
          <w:szCs w:val="36"/>
          <w:u w:val="none"/>
          <w:lang w:val="en-US" w:eastAsia="zh-CN"/>
        </w:rPr>
        <w:t>产业学院****</w:t>
      </w:r>
      <w:r>
        <w:rPr>
          <w:rFonts w:hint="eastAsia" w:ascii="宋体" w:hAnsi="宋体" w:eastAsia="宋体" w:cs="宋体"/>
          <w:b/>
          <w:bCs/>
          <w:sz w:val="36"/>
          <w:szCs w:val="36"/>
          <w:lang w:eastAsia="zh-CN"/>
        </w:rPr>
        <w:t>学年</w:t>
      </w:r>
      <w:r>
        <w:rPr>
          <w:rFonts w:hint="eastAsia" w:ascii="宋体" w:hAnsi="宋体" w:eastAsia="宋体" w:cs="宋体"/>
          <w:b/>
          <w:bCs/>
          <w:sz w:val="36"/>
          <w:szCs w:val="36"/>
        </w:rPr>
        <w:t>自我诊改报告</w:t>
      </w:r>
    </w:p>
    <w:p>
      <w:pPr>
        <w:adjustRightInd w:val="0"/>
        <w:snapToGrid w:val="0"/>
        <w:spacing w:line="520" w:lineRule="exact"/>
        <w:jc w:val="center"/>
        <w:rPr>
          <w:rFonts w:hint="eastAsia" w:ascii="宋体" w:hAnsi="宋体" w:eastAsia="宋体" w:cs="宋体"/>
          <w:b/>
          <w:bCs/>
          <w:sz w:val="36"/>
          <w:szCs w:val="36"/>
        </w:rPr>
      </w:pPr>
      <w:r>
        <w:rPr>
          <w:rFonts w:hint="eastAsia" w:ascii="宋体" w:hAnsi="宋体" w:eastAsia="宋体" w:cs="宋体"/>
          <w:b/>
          <w:bCs/>
          <w:sz w:val="36"/>
          <w:szCs w:val="36"/>
        </w:rPr>
        <w:t>（参考格式）</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2" w:firstLineChars="200"/>
        <w:jc w:val="left"/>
        <w:textAlignment w:val="auto"/>
        <w:rPr>
          <w:rFonts w:hint="eastAsia" w:ascii="宋体" w:hAnsi="宋体" w:eastAsia="宋体" w:cs="宋体"/>
          <w:b/>
          <w:bCs w:val="0"/>
          <w:kern w:val="0"/>
          <w:sz w:val="28"/>
          <w:szCs w:val="28"/>
        </w:rPr>
      </w:pP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2" w:firstLineChars="200"/>
        <w:jc w:val="left"/>
        <w:textAlignment w:val="auto"/>
        <w:rPr>
          <w:rFonts w:hint="eastAsia" w:ascii="宋体" w:hAnsi="宋体" w:eastAsia="宋体" w:cs="宋体"/>
          <w:b w:val="0"/>
          <w:bCs/>
          <w:color w:val="0000FF"/>
          <w:kern w:val="0"/>
          <w:sz w:val="28"/>
          <w:szCs w:val="28"/>
          <w:lang w:eastAsia="zh-CN"/>
        </w:rPr>
      </w:pPr>
      <w:r>
        <w:rPr>
          <w:rFonts w:hint="eastAsia" w:ascii="黑体" w:hAnsi="黑体" w:eastAsia="黑体" w:cs="黑体"/>
          <w:b/>
          <w:bCs w:val="0"/>
          <w:kern w:val="0"/>
          <w:sz w:val="28"/>
          <w:szCs w:val="28"/>
        </w:rPr>
        <w:t>一、自我诊改工作概述</w:t>
      </w:r>
      <w:r>
        <w:rPr>
          <w:rFonts w:hint="eastAsia" w:ascii="宋体" w:hAnsi="宋体" w:eastAsia="宋体" w:cs="宋体"/>
          <w:b/>
          <w:bCs w:val="0"/>
          <w:color w:val="0000FF"/>
          <w:kern w:val="0"/>
          <w:sz w:val="28"/>
          <w:szCs w:val="28"/>
          <w:lang w:eastAsia="zh-CN"/>
        </w:rPr>
        <w:t>（报告内容必须真实、准确，务必写实，无需等级性结论。）</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2" w:firstLineChars="200"/>
        <w:jc w:val="left"/>
        <w:textAlignment w:val="auto"/>
        <w:rPr>
          <w:rFonts w:hint="eastAsia" w:ascii="黑体" w:hAnsi="黑体" w:eastAsia="黑体" w:cs="黑体"/>
          <w:b/>
          <w:bCs w:val="0"/>
          <w:kern w:val="0"/>
          <w:sz w:val="28"/>
          <w:szCs w:val="28"/>
        </w:rPr>
      </w:pPr>
      <w:r>
        <w:rPr>
          <w:rFonts w:hint="eastAsia" w:ascii="黑体" w:hAnsi="黑体" w:eastAsia="黑体" w:cs="黑体"/>
          <w:b/>
          <w:bCs w:val="0"/>
          <w:kern w:val="0"/>
          <w:sz w:val="28"/>
          <w:szCs w:val="28"/>
        </w:rPr>
        <w:t>二、自我诊改措施及成效</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2" w:firstLineChars="200"/>
        <w:jc w:val="left"/>
        <w:textAlignment w:val="auto"/>
        <w:rPr>
          <w:rFonts w:hint="eastAsia" w:ascii="仿宋" w:hAnsi="仿宋" w:eastAsia="仿宋" w:cs="仿宋"/>
          <w:b/>
          <w:bCs w:val="0"/>
          <w:color w:val="0000FF"/>
          <w:kern w:val="0"/>
          <w:sz w:val="28"/>
          <w:szCs w:val="28"/>
        </w:rPr>
      </w:pPr>
      <w:bookmarkStart w:id="0" w:name="_Toc483695148"/>
      <w:bookmarkStart w:id="1" w:name="_Toc17709"/>
      <w:r>
        <w:rPr>
          <w:rFonts w:hint="eastAsia" w:ascii="仿宋" w:hAnsi="仿宋" w:eastAsia="仿宋" w:cs="仿宋"/>
          <w:b/>
          <w:bCs w:val="0"/>
          <w:kern w:val="0"/>
          <w:sz w:val="28"/>
          <w:szCs w:val="28"/>
          <w:lang w:val="en-US" w:eastAsia="zh-CN"/>
        </w:rPr>
        <w:t>本学年</w:t>
      </w:r>
      <w:r>
        <w:rPr>
          <w:rFonts w:hint="eastAsia" w:ascii="仿宋" w:hAnsi="仿宋" w:eastAsia="仿宋" w:cs="仿宋"/>
          <w:b/>
          <w:bCs w:val="0"/>
          <w:kern w:val="0"/>
          <w:sz w:val="28"/>
          <w:szCs w:val="28"/>
        </w:rPr>
        <w:t>诊改</w:t>
      </w:r>
      <w:r>
        <w:rPr>
          <w:rFonts w:hint="eastAsia" w:ascii="仿宋" w:hAnsi="仿宋" w:eastAsia="仿宋" w:cs="仿宋"/>
          <w:b/>
          <w:bCs w:val="0"/>
          <w:kern w:val="0"/>
          <w:sz w:val="28"/>
          <w:szCs w:val="28"/>
          <w:lang w:val="en-US" w:eastAsia="zh-CN"/>
        </w:rPr>
        <w:t>目标</w:t>
      </w:r>
      <w:r>
        <w:rPr>
          <w:rFonts w:hint="eastAsia" w:ascii="仿宋" w:hAnsi="仿宋" w:eastAsia="仿宋" w:cs="仿宋"/>
          <w:b/>
          <w:bCs w:val="0"/>
          <w:kern w:val="0"/>
          <w:sz w:val="28"/>
          <w:szCs w:val="28"/>
        </w:rPr>
        <w:t>1：</w:t>
      </w:r>
      <w:bookmarkEnd w:id="0"/>
      <w:bookmarkEnd w:id="1"/>
      <w:r>
        <w:rPr>
          <w:rFonts w:hint="eastAsia" w:ascii="仿宋" w:hAnsi="仿宋" w:eastAsia="仿宋" w:cs="仿宋"/>
          <w:b/>
          <w:bCs w:val="0"/>
          <w:color w:val="0000FF"/>
          <w:kern w:val="0"/>
          <w:sz w:val="28"/>
          <w:szCs w:val="28"/>
          <w:lang w:eastAsia="zh-CN"/>
        </w:rPr>
        <w:t>（第</w:t>
      </w:r>
      <w:r>
        <w:rPr>
          <w:rFonts w:hint="eastAsia" w:ascii="仿宋" w:hAnsi="仿宋" w:eastAsia="仿宋" w:cs="仿宋"/>
          <w:b/>
          <w:bCs w:val="0"/>
          <w:color w:val="0000FF"/>
          <w:kern w:val="0"/>
          <w:sz w:val="28"/>
          <w:szCs w:val="28"/>
          <w:lang w:val="en-US" w:eastAsia="zh-CN"/>
        </w:rPr>
        <w:t>二</w:t>
      </w:r>
      <w:r>
        <w:rPr>
          <w:rFonts w:hint="eastAsia" w:ascii="仿宋" w:hAnsi="仿宋" w:eastAsia="仿宋" w:cs="仿宋"/>
          <w:b/>
          <w:bCs w:val="0"/>
          <w:color w:val="0000FF"/>
          <w:kern w:val="0"/>
          <w:sz w:val="28"/>
          <w:szCs w:val="28"/>
          <w:lang w:eastAsia="zh-CN"/>
        </w:rPr>
        <w:t>级标题用</w:t>
      </w:r>
      <w:r>
        <w:rPr>
          <w:rFonts w:hint="eastAsia" w:ascii="仿宋" w:hAnsi="仿宋" w:eastAsia="仿宋" w:cs="仿宋"/>
          <w:b/>
          <w:bCs w:val="0"/>
          <w:color w:val="0000FF"/>
          <w:kern w:val="0"/>
          <w:sz w:val="28"/>
          <w:szCs w:val="28"/>
          <w:lang w:val="en-US" w:eastAsia="zh-CN"/>
        </w:rPr>
        <w:t>四、仿宋加粗</w:t>
      </w:r>
      <w:r>
        <w:rPr>
          <w:rFonts w:hint="eastAsia" w:ascii="仿宋" w:hAnsi="仿宋" w:eastAsia="仿宋" w:cs="仿宋"/>
          <w:b/>
          <w:bCs w:val="0"/>
          <w:color w:val="0000FF"/>
          <w:kern w:val="0"/>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color w:val="0000FF"/>
          <w:kern w:val="0"/>
          <w:sz w:val="28"/>
          <w:szCs w:val="28"/>
          <w:lang w:eastAsia="zh-CN"/>
        </w:rPr>
      </w:pPr>
      <w:r>
        <w:rPr>
          <w:rFonts w:hint="eastAsia" w:ascii="宋体" w:hAnsi="宋体" w:eastAsia="宋体" w:cs="宋体"/>
          <w:bCs/>
          <w:kern w:val="0"/>
          <w:sz w:val="28"/>
          <w:szCs w:val="28"/>
        </w:rPr>
        <w:t>自我诊断意见</w:t>
      </w:r>
      <w:r>
        <w:rPr>
          <w:rFonts w:hint="eastAsia" w:ascii="宋体" w:hAnsi="宋体" w:eastAsia="宋体" w:cs="宋体"/>
          <w:bCs/>
          <w:kern w:val="0"/>
          <w:sz w:val="28"/>
          <w:szCs w:val="28"/>
          <w:lang w:eastAsia="zh-CN"/>
        </w:rPr>
        <w:t>：</w:t>
      </w:r>
      <w:r>
        <w:rPr>
          <w:rFonts w:hint="eastAsia" w:ascii="宋体" w:hAnsi="宋体" w:eastAsia="宋体" w:cs="宋体"/>
          <w:bCs/>
          <w:color w:val="0000FF"/>
          <w:kern w:val="0"/>
          <w:sz w:val="28"/>
          <w:szCs w:val="28"/>
          <w:lang w:eastAsia="zh-CN"/>
        </w:rPr>
        <w:t>（需阐明目标达成程度，主要成绩，存在问题，原因分析。总体不超过500字。存在问题与原因分析应占一半左右篇幅。）</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color w:val="0000FF"/>
          <w:kern w:val="0"/>
          <w:sz w:val="28"/>
          <w:szCs w:val="28"/>
          <w:lang w:eastAsia="zh-CN"/>
        </w:rPr>
      </w:pPr>
      <w:r>
        <w:rPr>
          <w:rFonts w:hint="eastAsia" w:ascii="宋体" w:hAnsi="宋体" w:eastAsia="宋体" w:cs="宋体"/>
          <w:bCs/>
          <w:kern w:val="0"/>
          <w:sz w:val="28"/>
          <w:szCs w:val="28"/>
        </w:rPr>
        <w:t>改进措施1：</w:t>
      </w:r>
      <w:r>
        <w:rPr>
          <w:rFonts w:hint="eastAsia" w:ascii="宋体" w:hAnsi="宋体" w:eastAsia="宋体" w:cs="宋体"/>
          <w:bCs/>
          <w:color w:val="0000FF"/>
          <w:kern w:val="0"/>
          <w:sz w:val="28"/>
          <w:szCs w:val="28"/>
          <w:lang w:eastAsia="zh-CN"/>
        </w:rPr>
        <w:t>（需突出针对性、注重可行性。总体不超过200字。）</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color w:val="0000FF"/>
          <w:kern w:val="0"/>
          <w:sz w:val="28"/>
          <w:szCs w:val="28"/>
          <w:lang w:val="en-US" w:eastAsia="zh-CN"/>
        </w:rPr>
      </w:pPr>
      <w:r>
        <w:rPr>
          <w:rFonts w:hint="eastAsia" w:ascii="宋体" w:hAnsi="宋体" w:eastAsia="宋体" w:cs="宋体"/>
          <w:bCs/>
          <w:kern w:val="0"/>
          <w:sz w:val="28"/>
          <w:szCs w:val="28"/>
        </w:rPr>
        <w:t>改进</w:t>
      </w:r>
      <w:r>
        <w:rPr>
          <w:rFonts w:hint="eastAsia" w:ascii="宋体" w:hAnsi="宋体" w:eastAsia="宋体" w:cs="宋体"/>
          <w:bCs/>
          <w:kern w:val="0"/>
          <w:sz w:val="28"/>
          <w:szCs w:val="28"/>
          <w:lang w:val="en-US" w:eastAsia="zh-CN"/>
        </w:rPr>
        <w:t>成效1：</w:t>
      </w:r>
      <w:r>
        <w:rPr>
          <w:rFonts w:hint="eastAsia" w:ascii="宋体" w:hAnsi="宋体" w:eastAsia="宋体" w:cs="宋体"/>
          <w:bCs/>
          <w:color w:val="0000FF"/>
          <w:kern w:val="0"/>
          <w:sz w:val="28"/>
          <w:szCs w:val="28"/>
          <w:lang w:val="en-US" w:eastAsia="zh-CN"/>
        </w:rPr>
        <w:t>（“改进成效”指实施改进措施之后已经显现的实际效果或形成的特色，不是预测或估计成效。如果措施尚未实施，请加说明。总体不超过200字。）</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kern w:val="0"/>
          <w:sz w:val="28"/>
          <w:szCs w:val="28"/>
        </w:rPr>
      </w:pPr>
      <w:r>
        <w:rPr>
          <w:rFonts w:hint="eastAsia" w:ascii="宋体" w:hAnsi="宋体" w:eastAsia="宋体" w:cs="宋体"/>
          <w:bCs/>
          <w:kern w:val="0"/>
          <w:sz w:val="28"/>
          <w:szCs w:val="28"/>
        </w:rPr>
        <w:t>改进措施</w:t>
      </w:r>
      <w:r>
        <w:rPr>
          <w:rFonts w:hint="eastAsia" w:ascii="宋体" w:hAnsi="宋体" w:eastAsia="宋体" w:cs="宋体"/>
          <w:bCs/>
          <w:kern w:val="0"/>
          <w:sz w:val="28"/>
          <w:szCs w:val="28"/>
          <w:lang w:val="en-US" w:eastAsia="zh-CN"/>
        </w:rPr>
        <w:t>2</w:t>
      </w:r>
      <w:r>
        <w:rPr>
          <w:rFonts w:hint="eastAsia" w:ascii="宋体" w:hAnsi="宋体" w:eastAsia="宋体" w:cs="宋体"/>
          <w:bCs/>
          <w:kern w:val="0"/>
          <w:sz w:val="28"/>
          <w:szCs w:val="28"/>
        </w:rPr>
        <w:t>：</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left="559" w:leftChars="266" w:firstLine="0" w:firstLineChars="0"/>
        <w:jc w:val="left"/>
        <w:textAlignment w:val="auto"/>
        <w:rPr>
          <w:rFonts w:hint="eastAsia" w:ascii="宋体" w:hAnsi="宋体" w:eastAsia="宋体" w:cs="宋体"/>
          <w:bCs/>
          <w:kern w:val="0"/>
          <w:sz w:val="28"/>
          <w:szCs w:val="28"/>
        </w:rPr>
      </w:pPr>
      <w:r>
        <w:rPr>
          <w:rFonts w:hint="eastAsia" w:ascii="宋体" w:hAnsi="宋体" w:eastAsia="宋体" w:cs="宋体"/>
          <w:bCs/>
          <w:kern w:val="0"/>
          <w:sz w:val="28"/>
          <w:szCs w:val="28"/>
        </w:rPr>
        <w:t>改进</w:t>
      </w:r>
      <w:r>
        <w:rPr>
          <w:rFonts w:hint="eastAsia" w:ascii="宋体" w:hAnsi="宋体" w:eastAsia="宋体" w:cs="宋体"/>
          <w:bCs/>
          <w:kern w:val="0"/>
          <w:sz w:val="28"/>
          <w:szCs w:val="28"/>
          <w:lang w:val="en-US" w:eastAsia="zh-CN"/>
        </w:rPr>
        <w:t>成效2：</w:t>
      </w:r>
      <w:r>
        <w:rPr>
          <w:rFonts w:hint="eastAsia" w:ascii="宋体" w:hAnsi="宋体" w:eastAsia="宋体" w:cs="宋体"/>
          <w:bCs/>
          <w:kern w:val="0"/>
          <w:sz w:val="28"/>
          <w:szCs w:val="28"/>
          <w:lang w:val="en-US" w:eastAsia="zh-CN"/>
        </w:rPr>
        <w:br w:type="textWrapping"/>
      </w:r>
      <w:r>
        <w:rPr>
          <w:rFonts w:hint="eastAsia" w:ascii="宋体" w:hAnsi="宋体" w:eastAsia="宋体" w:cs="宋体"/>
          <w:bCs/>
          <w:kern w:val="0"/>
          <w:sz w:val="28"/>
          <w:szCs w:val="28"/>
          <w:lang w:val="en-US" w:eastAsia="zh-CN"/>
        </w:rPr>
        <w:t>……</w:t>
      </w:r>
      <w:r>
        <w:rPr>
          <w:rFonts w:hint="eastAsia" w:ascii="宋体" w:hAnsi="宋体" w:eastAsia="宋体" w:cs="宋体"/>
          <w:bCs/>
          <w:color w:val="0000FF"/>
          <w:kern w:val="0"/>
          <w:sz w:val="28"/>
          <w:szCs w:val="28"/>
          <w:lang w:val="en-US" w:eastAsia="zh-CN"/>
        </w:rPr>
        <w:t>（</w:t>
      </w:r>
      <w:r>
        <w:rPr>
          <w:rFonts w:hint="eastAsia" w:ascii="宋体" w:hAnsi="宋体" w:eastAsia="宋体" w:cs="宋体"/>
          <w:b w:val="0"/>
          <w:bCs/>
          <w:color w:val="0000FF"/>
          <w:kern w:val="0"/>
          <w:sz w:val="28"/>
          <w:szCs w:val="28"/>
          <w:lang w:val="en-US" w:eastAsia="zh-CN"/>
        </w:rPr>
        <w:t>正文四，宋体</w:t>
      </w:r>
      <w:r>
        <w:rPr>
          <w:rFonts w:hint="eastAsia" w:ascii="宋体" w:hAnsi="宋体" w:eastAsia="宋体" w:cs="宋体"/>
          <w:bCs/>
          <w:color w:val="0000FF"/>
          <w:kern w:val="0"/>
          <w:sz w:val="28"/>
          <w:szCs w:val="28"/>
          <w:lang w:val="en-US" w:eastAsia="zh-CN"/>
        </w:rPr>
        <w:t>）</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2" w:firstLineChars="200"/>
        <w:jc w:val="left"/>
        <w:textAlignment w:val="auto"/>
        <w:rPr>
          <w:rFonts w:hint="eastAsia" w:ascii="仿宋" w:hAnsi="仿宋" w:eastAsia="仿宋" w:cs="仿宋"/>
          <w:b w:val="0"/>
          <w:bCs/>
          <w:kern w:val="0"/>
          <w:sz w:val="28"/>
          <w:szCs w:val="28"/>
        </w:rPr>
      </w:pPr>
      <w:r>
        <w:rPr>
          <w:rFonts w:hint="eastAsia" w:ascii="仿宋" w:hAnsi="仿宋" w:eastAsia="仿宋" w:cs="仿宋"/>
          <w:b/>
          <w:bCs w:val="0"/>
          <w:kern w:val="0"/>
          <w:sz w:val="28"/>
          <w:szCs w:val="28"/>
          <w:lang w:val="en-US" w:eastAsia="zh-CN"/>
        </w:rPr>
        <w:t>本学年</w:t>
      </w:r>
      <w:r>
        <w:rPr>
          <w:rFonts w:hint="eastAsia" w:ascii="仿宋" w:hAnsi="仿宋" w:eastAsia="仿宋" w:cs="仿宋"/>
          <w:b/>
          <w:bCs w:val="0"/>
          <w:kern w:val="0"/>
          <w:sz w:val="28"/>
          <w:szCs w:val="28"/>
        </w:rPr>
        <w:t>诊改</w:t>
      </w:r>
      <w:r>
        <w:rPr>
          <w:rFonts w:hint="eastAsia" w:ascii="仿宋" w:hAnsi="仿宋" w:eastAsia="仿宋" w:cs="仿宋"/>
          <w:b/>
          <w:bCs w:val="0"/>
          <w:kern w:val="0"/>
          <w:sz w:val="28"/>
          <w:szCs w:val="28"/>
          <w:lang w:val="en-US" w:eastAsia="zh-CN"/>
        </w:rPr>
        <w:t>目标2</w:t>
      </w:r>
      <w:r>
        <w:rPr>
          <w:rFonts w:hint="eastAsia" w:ascii="仿宋" w:hAnsi="仿宋" w:eastAsia="仿宋" w:cs="仿宋"/>
          <w:b/>
          <w:bCs w:val="0"/>
          <w:kern w:val="0"/>
          <w:sz w:val="28"/>
          <w:szCs w:val="28"/>
        </w:rPr>
        <w:t>：</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kern w:val="0"/>
          <w:sz w:val="28"/>
          <w:szCs w:val="28"/>
          <w:lang w:eastAsia="zh-CN"/>
        </w:rPr>
      </w:pPr>
      <w:r>
        <w:rPr>
          <w:rFonts w:hint="eastAsia" w:ascii="宋体" w:hAnsi="宋体" w:eastAsia="宋体" w:cs="宋体"/>
          <w:bCs/>
          <w:kern w:val="0"/>
          <w:sz w:val="28"/>
          <w:szCs w:val="28"/>
        </w:rPr>
        <w:t>自我诊断意见</w:t>
      </w:r>
      <w:r>
        <w:rPr>
          <w:rFonts w:hint="eastAsia" w:ascii="宋体" w:hAnsi="宋体" w:eastAsia="宋体" w:cs="宋体"/>
          <w:bCs/>
          <w:kern w:val="0"/>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kern w:val="0"/>
          <w:sz w:val="28"/>
          <w:szCs w:val="28"/>
        </w:rPr>
      </w:pPr>
      <w:r>
        <w:rPr>
          <w:rFonts w:hint="eastAsia" w:ascii="宋体" w:hAnsi="宋体" w:eastAsia="宋体" w:cs="宋体"/>
          <w:bCs/>
          <w:kern w:val="0"/>
          <w:sz w:val="28"/>
          <w:szCs w:val="28"/>
        </w:rPr>
        <w:t>改进措施1：</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kern w:val="0"/>
          <w:sz w:val="28"/>
          <w:szCs w:val="28"/>
          <w:lang w:val="en-US" w:eastAsia="zh-CN"/>
        </w:rPr>
      </w:pPr>
      <w:r>
        <w:rPr>
          <w:rFonts w:hint="eastAsia" w:ascii="宋体" w:hAnsi="宋体" w:eastAsia="宋体" w:cs="宋体"/>
          <w:bCs/>
          <w:kern w:val="0"/>
          <w:sz w:val="28"/>
          <w:szCs w:val="28"/>
        </w:rPr>
        <w:t>改进</w:t>
      </w:r>
      <w:r>
        <w:rPr>
          <w:rFonts w:hint="eastAsia" w:ascii="宋体" w:hAnsi="宋体" w:eastAsia="宋体" w:cs="宋体"/>
          <w:bCs/>
          <w:kern w:val="0"/>
          <w:sz w:val="28"/>
          <w:szCs w:val="28"/>
          <w:lang w:val="en-US" w:eastAsia="zh-CN"/>
        </w:rPr>
        <w:t>成效1：</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kern w:val="0"/>
          <w:sz w:val="28"/>
          <w:szCs w:val="28"/>
        </w:rPr>
      </w:pPr>
      <w:r>
        <w:rPr>
          <w:rFonts w:hint="eastAsia" w:ascii="宋体" w:hAnsi="宋体" w:eastAsia="宋体" w:cs="宋体"/>
          <w:bCs/>
          <w:kern w:val="0"/>
          <w:sz w:val="28"/>
          <w:szCs w:val="28"/>
        </w:rPr>
        <w:t>改进措施</w:t>
      </w:r>
      <w:r>
        <w:rPr>
          <w:rFonts w:hint="eastAsia" w:ascii="宋体" w:hAnsi="宋体" w:eastAsia="宋体" w:cs="宋体"/>
          <w:bCs/>
          <w:kern w:val="0"/>
          <w:sz w:val="28"/>
          <w:szCs w:val="28"/>
          <w:lang w:val="en-US" w:eastAsia="zh-CN"/>
        </w:rPr>
        <w:t>2</w:t>
      </w:r>
      <w:r>
        <w:rPr>
          <w:rFonts w:hint="eastAsia" w:ascii="宋体" w:hAnsi="宋体" w:eastAsia="宋体" w:cs="宋体"/>
          <w:bCs/>
          <w:kern w:val="0"/>
          <w:sz w:val="28"/>
          <w:szCs w:val="28"/>
        </w:rPr>
        <w:t>：</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left="559" w:leftChars="266" w:firstLine="0" w:firstLineChars="0"/>
        <w:jc w:val="left"/>
        <w:textAlignment w:val="auto"/>
        <w:rPr>
          <w:rFonts w:hint="eastAsia" w:ascii="宋体" w:hAnsi="宋体" w:eastAsia="宋体" w:cs="宋体"/>
          <w:bCs/>
          <w:kern w:val="0"/>
          <w:sz w:val="28"/>
          <w:szCs w:val="28"/>
        </w:rPr>
      </w:pPr>
      <w:r>
        <w:rPr>
          <w:rFonts w:hint="eastAsia" w:ascii="宋体" w:hAnsi="宋体" w:eastAsia="宋体" w:cs="宋体"/>
          <w:bCs/>
          <w:kern w:val="0"/>
          <w:sz w:val="28"/>
          <w:szCs w:val="28"/>
        </w:rPr>
        <w:t>改进</w:t>
      </w:r>
      <w:r>
        <w:rPr>
          <w:rFonts w:hint="eastAsia" w:ascii="宋体" w:hAnsi="宋体" w:eastAsia="宋体" w:cs="宋体"/>
          <w:bCs/>
          <w:kern w:val="0"/>
          <w:sz w:val="28"/>
          <w:szCs w:val="28"/>
          <w:lang w:val="en-US" w:eastAsia="zh-CN"/>
        </w:rPr>
        <w:t>成效2：</w:t>
      </w:r>
      <w:r>
        <w:rPr>
          <w:rFonts w:hint="eastAsia" w:ascii="宋体" w:hAnsi="宋体" w:eastAsia="宋体" w:cs="宋体"/>
          <w:bCs/>
          <w:kern w:val="0"/>
          <w:sz w:val="28"/>
          <w:szCs w:val="28"/>
          <w:lang w:val="en-US" w:eastAsia="zh-CN"/>
        </w:rPr>
        <w:br w:type="textWrapping"/>
      </w:r>
      <w:r>
        <w:rPr>
          <w:rFonts w:hint="eastAsia" w:ascii="宋体" w:hAnsi="宋体" w:eastAsia="宋体" w:cs="宋体"/>
          <w:bCs/>
          <w:kern w:val="0"/>
          <w:sz w:val="28"/>
          <w:szCs w:val="28"/>
          <w:lang w:val="en-US" w:eastAsia="zh-CN"/>
        </w:rPr>
        <w:t>……</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2" w:firstLineChars="200"/>
        <w:jc w:val="left"/>
        <w:textAlignment w:val="auto"/>
        <w:rPr>
          <w:rFonts w:hint="eastAsia" w:ascii="仿宋" w:hAnsi="仿宋" w:eastAsia="仿宋" w:cs="仿宋"/>
          <w:b w:val="0"/>
          <w:bCs/>
          <w:kern w:val="0"/>
          <w:sz w:val="28"/>
          <w:szCs w:val="28"/>
        </w:rPr>
      </w:pPr>
      <w:r>
        <w:rPr>
          <w:rFonts w:hint="eastAsia" w:ascii="仿宋" w:hAnsi="仿宋" w:eastAsia="仿宋" w:cs="仿宋"/>
          <w:b/>
          <w:bCs w:val="0"/>
          <w:kern w:val="0"/>
          <w:sz w:val="28"/>
          <w:szCs w:val="28"/>
          <w:lang w:val="en-US" w:eastAsia="zh-CN"/>
        </w:rPr>
        <w:t>本学年</w:t>
      </w:r>
      <w:r>
        <w:rPr>
          <w:rFonts w:hint="eastAsia" w:ascii="仿宋" w:hAnsi="仿宋" w:eastAsia="仿宋" w:cs="仿宋"/>
          <w:b/>
          <w:bCs w:val="0"/>
          <w:kern w:val="0"/>
          <w:sz w:val="28"/>
          <w:szCs w:val="28"/>
        </w:rPr>
        <w:t>诊改</w:t>
      </w:r>
      <w:r>
        <w:rPr>
          <w:rFonts w:hint="eastAsia" w:ascii="仿宋" w:hAnsi="仿宋" w:eastAsia="仿宋" w:cs="仿宋"/>
          <w:b/>
          <w:bCs w:val="0"/>
          <w:kern w:val="0"/>
          <w:sz w:val="28"/>
          <w:szCs w:val="28"/>
          <w:lang w:val="en-US" w:eastAsia="zh-CN"/>
        </w:rPr>
        <w:t>目标3</w:t>
      </w:r>
      <w:r>
        <w:rPr>
          <w:rFonts w:hint="eastAsia" w:ascii="仿宋" w:hAnsi="仿宋" w:eastAsia="仿宋" w:cs="仿宋"/>
          <w:b/>
          <w:bCs w:val="0"/>
          <w:kern w:val="0"/>
          <w:sz w:val="28"/>
          <w:szCs w:val="28"/>
        </w:rPr>
        <w:t>：</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kern w:val="0"/>
          <w:sz w:val="28"/>
          <w:szCs w:val="28"/>
          <w:lang w:eastAsia="zh-CN"/>
        </w:rPr>
      </w:pPr>
      <w:r>
        <w:rPr>
          <w:rFonts w:hint="eastAsia" w:ascii="宋体" w:hAnsi="宋体" w:eastAsia="宋体" w:cs="宋体"/>
          <w:bCs/>
          <w:kern w:val="0"/>
          <w:sz w:val="28"/>
          <w:szCs w:val="28"/>
        </w:rPr>
        <w:t>自我诊断意见</w:t>
      </w:r>
      <w:r>
        <w:rPr>
          <w:rFonts w:hint="eastAsia" w:ascii="宋体" w:hAnsi="宋体" w:eastAsia="宋体" w:cs="宋体"/>
          <w:bCs/>
          <w:kern w:val="0"/>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kern w:val="0"/>
          <w:sz w:val="28"/>
          <w:szCs w:val="28"/>
        </w:rPr>
      </w:pPr>
      <w:r>
        <w:rPr>
          <w:rFonts w:hint="eastAsia" w:ascii="宋体" w:hAnsi="宋体" w:eastAsia="宋体" w:cs="宋体"/>
          <w:bCs/>
          <w:kern w:val="0"/>
          <w:sz w:val="28"/>
          <w:szCs w:val="28"/>
        </w:rPr>
        <w:t>改进措施1：</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kern w:val="0"/>
          <w:sz w:val="28"/>
          <w:szCs w:val="28"/>
          <w:lang w:val="en-US" w:eastAsia="zh-CN"/>
        </w:rPr>
      </w:pPr>
      <w:r>
        <w:rPr>
          <w:rFonts w:hint="eastAsia" w:ascii="宋体" w:hAnsi="宋体" w:eastAsia="宋体" w:cs="宋体"/>
          <w:bCs/>
          <w:kern w:val="0"/>
          <w:sz w:val="28"/>
          <w:szCs w:val="28"/>
        </w:rPr>
        <w:t>改进</w:t>
      </w:r>
      <w:r>
        <w:rPr>
          <w:rFonts w:hint="eastAsia" w:ascii="宋体" w:hAnsi="宋体" w:eastAsia="宋体" w:cs="宋体"/>
          <w:bCs/>
          <w:kern w:val="0"/>
          <w:sz w:val="28"/>
          <w:szCs w:val="28"/>
          <w:lang w:val="en-US" w:eastAsia="zh-CN"/>
        </w:rPr>
        <w:t>成效1：</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kern w:val="0"/>
          <w:sz w:val="28"/>
          <w:szCs w:val="28"/>
        </w:rPr>
      </w:pPr>
      <w:r>
        <w:rPr>
          <w:rFonts w:hint="eastAsia" w:ascii="宋体" w:hAnsi="宋体" w:eastAsia="宋体" w:cs="宋体"/>
          <w:bCs/>
          <w:kern w:val="0"/>
          <w:sz w:val="28"/>
          <w:szCs w:val="28"/>
        </w:rPr>
        <w:t>改进措施</w:t>
      </w:r>
      <w:r>
        <w:rPr>
          <w:rFonts w:hint="eastAsia" w:ascii="宋体" w:hAnsi="宋体" w:eastAsia="宋体" w:cs="宋体"/>
          <w:bCs/>
          <w:kern w:val="0"/>
          <w:sz w:val="28"/>
          <w:szCs w:val="28"/>
          <w:lang w:val="en-US" w:eastAsia="zh-CN"/>
        </w:rPr>
        <w:t>2</w:t>
      </w:r>
      <w:r>
        <w:rPr>
          <w:rFonts w:hint="eastAsia" w:ascii="宋体" w:hAnsi="宋体" w:eastAsia="宋体" w:cs="宋体"/>
          <w:bCs/>
          <w:kern w:val="0"/>
          <w:sz w:val="28"/>
          <w:szCs w:val="28"/>
        </w:rPr>
        <w:t>：</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kern w:val="0"/>
          <w:sz w:val="28"/>
          <w:szCs w:val="28"/>
          <w:lang w:val="en-US" w:eastAsia="zh-CN"/>
        </w:rPr>
      </w:pPr>
      <w:r>
        <w:rPr>
          <w:rFonts w:hint="eastAsia" w:ascii="宋体" w:hAnsi="宋体" w:eastAsia="宋体" w:cs="宋体"/>
          <w:bCs/>
          <w:kern w:val="0"/>
          <w:sz w:val="28"/>
          <w:szCs w:val="28"/>
        </w:rPr>
        <w:t>改进</w:t>
      </w:r>
      <w:r>
        <w:rPr>
          <w:rFonts w:hint="eastAsia" w:ascii="宋体" w:hAnsi="宋体" w:eastAsia="宋体" w:cs="宋体"/>
          <w:bCs/>
          <w:kern w:val="0"/>
          <w:sz w:val="28"/>
          <w:szCs w:val="28"/>
          <w:lang w:val="en-US" w:eastAsia="zh-CN"/>
        </w:rPr>
        <w:t>成效2：</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kern w:val="0"/>
          <w:sz w:val="28"/>
          <w:szCs w:val="28"/>
        </w:rPr>
      </w:pPr>
      <w:r>
        <w:rPr>
          <w:rFonts w:hint="eastAsia" w:ascii="宋体" w:hAnsi="宋体" w:eastAsia="宋体" w:cs="宋体"/>
          <w:bCs/>
          <w:kern w:val="0"/>
          <w:sz w:val="28"/>
          <w:szCs w:val="28"/>
          <w:lang w:val="en-US" w:eastAsia="zh-CN"/>
        </w:rPr>
        <w:t>……</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2" w:firstLineChars="200"/>
        <w:jc w:val="left"/>
        <w:textAlignment w:val="auto"/>
        <w:rPr>
          <w:rFonts w:hint="eastAsia" w:ascii="黑体" w:hAnsi="黑体" w:eastAsia="黑体" w:cs="黑体"/>
          <w:b/>
          <w:bCs w:val="0"/>
          <w:kern w:val="0"/>
          <w:sz w:val="28"/>
          <w:szCs w:val="28"/>
          <w:lang w:val="en-US" w:eastAsia="zh-CN"/>
        </w:rPr>
        <w:sectPr>
          <w:pgSz w:w="11906" w:h="16838"/>
          <w:pgMar w:top="1440" w:right="1417" w:bottom="1440" w:left="1417" w:header="851" w:footer="992" w:gutter="0"/>
          <w:pgNumType w:fmt="decimal"/>
          <w:cols w:space="425" w:num="1"/>
          <w:docGrid w:type="lines" w:linePitch="312" w:charSpace="0"/>
        </w:sectPr>
      </w:pPr>
      <w:r>
        <w:rPr>
          <w:rFonts w:hint="eastAsia" w:ascii="黑体" w:hAnsi="黑体" w:eastAsia="黑体" w:cs="黑体"/>
          <w:b/>
          <w:bCs w:val="0"/>
          <w:kern w:val="0"/>
          <w:sz w:val="28"/>
          <w:szCs w:val="28"/>
          <w:lang w:val="en-US" w:eastAsia="zh-CN"/>
        </w:rPr>
        <w:t>三、下一步努力的方向</w:t>
      </w:r>
      <w:r>
        <w:rPr>
          <w:rFonts w:hint="eastAsia" w:ascii="黑体" w:hAnsi="黑体" w:eastAsia="黑体" w:cs="黑体"/>
          <w:b/>
          <w:bCs w:val="0"/>
          <w:color w:val="0000FF"/>
          <w:kern w:val="0"/>
          <w:sz w:val="28"/>
          <w:szCs w:val="28"/>
          <w:lang w:val="en-US" w:eastAsia="zh-CN"/>
        </w:rPr>
        <w:t>（新目标）</w:t>
      </w:r>
    </w:p>
    <w:p>
      <w:pPr>
        <w:adjustRightInd w:val="0"/>
        <w:snapToGrid w:val="0"/>
        <w:spacing w:line="520" w:lineRule="exact"/>
        <w:jc w:val="center"/>
        <w:rPr>
          <w:rFonts w:hint="eastAsia" w:ascii="宋体" w:hAnsi="宋体" w:eastAsia="宋体" w:cs="宋体"/>
          <w:b/>
          <w:bCs/>
          <w:sz w:val="36"/>
          <w:szCs w:val="36"/>
        </w:rPr>
      </w:pPr>
      <w:r>
        <w:rPr>
          <w:rFonts w:hint="eastAsia" w:ascii="宋体" w:hAnsi="宋体" w:eastAsia="宋体" w:cs="宋体"/>
          <w:b/>
          <w:bCs/>
          <w:sz w:val="36"/>
          <w:szCs w:val="36"/>
          <w:lang w:val="en-US" w:eastAsia="zh-CN"/>
        </w:rPr>
        <w:t>产业学院</w:t>
      </w:r>
      <w:r>
        <w:rPr>
          <w:rFonts w:hint="eastAsia" w:ascii="宋体" w:hAnsi="宋体" w:eastAsia="宋体" w:cs="宋体"/>
          <w:b/>
          <w:bCs/>
          <w:sz w:val="36"/>
          <w:szCs w:val="36"/>
        </w:rPr>
        <w:t>各专业****学年自我诊改报告</w:t>
      </w:r>
    </w:p>
    <w:p>
      <w:pPr>
        <w:adjustRightInd w:val="0"/>
        <w:snapToGrid w:val="0"/>
        <w:spacing w:line="520" w:lineRule="exact"/>
        <w:jc w:val="center"/>
        <w:rPr>
          <w:rFonts w:hint="eastAsia" w:ascii="宋体" w:hAnsi="宋体" w:eastAsia="宋体" w:cs="宋体"/>
          <w:b/>
          <w:bCs/>
          <w:sz w:val="36"/>
          <w:szCs w:val="36"/>
        </w:rPr>
      </w:pPr>
      <w:r>
        <w:rPr>
          <w:rFonts w:hint="eastAsia" w:ascii="宋体" w:hAnsi="宋体" w:eastAsia="宋体" w:cs="宋体"/>
          <w:b/>
          <w:bCs/>
          <w:sz w:val="36"/>
          <w:szCs w:val="36"/>
        </w:rPr>
        <w:t>（参考格式）</w:t>
      </w:r>
    </w:p>
    <w:p>
      <w:pPr>
        <w:spacing w:line="308" w:lineRule="auto"/>
        <w:ind w:firstLine="718" w:firstLineChars="298"/>
        <w:rPr>
          <w:rFonts w:ascii="仿宋" w:hAnsi="仿宋" w:eastAsia="仿宋" w:cs="仿宋"/>
          <w:b/>
          <w:sz w:val="24"/>
        </w:rPr>
      </w:pPr>
    </w:p>
    <w:p>
      <w:pPr>
        <w:spacing w:line="308" w:lineRule="auto"/>
        <w:ind w:firstLine="482" w:firstLineChars="200"/>
        <w:rPr>
          <w:rFonts w:hint="eastAsia" w:ascii="黑体" w:hAnsi="黑体" w:eastAsia="黑体" w:cs="黑体"/>
          <w:b/>
          <w:sz w:val="24"/>
          <w:szCs w:val="24"/>
        </w:rPr>
      </w:pPr>
      <w:r>
        <w:rPr>
          <w:rFonts w:hint="eastAsia" w:ascii="黑体" w:hAnsi="黑体" w:eastAsia="黑体" w:cs="黑体"/>
          <w:b/>
          <w:sz w:val="24"/>
          <w:szCs w:val="24"/>
        </w:rPr>
        <w:t>一、专业质量基础</w:t>
      </w:r>
    </w:p>
    <w:p>
      <w:pPr>
        <w:spacing w:line="308" w:lineRule="auto"/>
        <w:ind w:firstLine="472" w:firstLineChars="196"/>
        <w:rPr>
          <w:rFonts w:hint="eastAsia" w:ascii="楷体" w:hAnsi="楷体" w:eastAsia="楷体" w:cs="楷体"/>
          <w:b/>
          <w:sz w:val="24"/>
        </w:rPr>
      </w:pPr>
      <w:r>
        <w:rPr>
          <w:rFonts w:hint="eastAsia" w:ascii="楷体" w:hAnsi="楷体" w:eastAsia="楷体" w:cs="楷体"/>
          <w:b/>
          <w:sz w:val="24"/>
        </w:rPr>
        <w:t>（一）专业建设概况</w:t>
      </w:r>
    </w:p>
    <w:p>
      <w:pPr>
        <w:spacing w:line="308" w:lineRule="auto"/>
        <w:ind w:firstLine="480" w:firstLineChars="200"/>
        <w:rPr>
          <w:rFonts w:ascii="仿宋" w:hAnsi="仿宋" w:eastAsia="仿宋" w:cs="仿宋"/>
          <w:bCs/>
          <w:sz w:val="24"/>
        </w:rPr>
      </w:pPr>
      <w:r>
        <w:rPr>
          <w:rFonts w:hint="eastAsia" w:ascii="仿宋" w:hAnsi="仿宋" w:eastAsia="仿宋" w:cs="仿宋"/>
          <w:bCs/>
          <w:sz w:val="24"/>
        </w:rPr>
        <w:t>专业设置时间、共培养了多少人、在校生人数。目前师资情况、资源配置情况、实训基地（校内外）、校企合作情况等。学生就业情况、质量工程情况、社会服务情况等。</w:t>
      </w:r>
    </w:p>
    <w:p>
      <w:pPr>
        <w:spacing w:line="308" w:lineRule="auto"/>
        <w:ind w:firstLine="482" w:firstLineChars="200"/>
        <w:rPr>
          <w:rFonts w:hint="eastAsia" w:ascii="楷体" w:hAnsi="楷体" w:eastAsia="楷体" w:cs="楷体"/>
          <w:b/>
          <w:sz w:val="24"/>
        </w:rPr>
      </w:pPr>
      <w:r>
        <w:rPr>
          <w:rFonts w:hint="eastAsia" w:ascii="楷体" w:hAnsi="楷体" w:eastAsia="楷体" w:cs="楷体"/>
          <w:b/>
          <w:sz w:val="24"/>
        </w:rPr>
        <w:t>（二）专业设置定位与人才培养模式</w:t>
      </w:r>
    </w:p>
    <w:p>
      <w:pPr>
        <w:spacing w:line="308" w:lineRule="auto"/>
        <w:ind w:firstLine="480" w:firstLineChars="200"/>
        <w:rPr>
          <w:rFonts w:ascii="仿宋" w:hAnsi="仿宋" w:eastAsia="仿宋" w:cs="仿宋"/>
          <w:bCs/>
          <w:sz w:val="24"/>
        </w:rPr>
      </w:pPr>
      <w:r>
        <w:rPr>
          <w:rFonts w:hint="eastAsia" w:ascii="仿宋" w:hAnsi="仿宋" w:eastAsia="仿宋" w:cs="仿宋"/>
          <w:bCs/>
          <w:sz w:val="24"/>
        </w:rPr>
        <w:t>1.专业调研</w:t>
      </w:r>
    </w:p>
    <w:p>
      <w:pPr>
        <w:spacing w:line="308" w:lineRule="auto"/>
        <w:ind w:firstLine="480" w:firstLineChars="200"/>
        <w:rPr>
          <w:rFonts w:ascii="仿宋" w:hAnsi="仿宋" w:eastAsia="仿宋" w:cs="仿宋"/>
          <w:bCs/>
          <w:sz w:val="24"/>
        </w:rPr>
      </w:pPr>
      <w:r>
        <w:rPr>
          <w:rFonts w:hint="eastAsia" w:ascii="仿宋" w:hAnsi="仿宋" w:eastAsia="仿宋" w:cs="仿宋"/>
          <w:bCs/>
          <w:sz w:val="24"/>
        </w:rPr>
        <w:t>是否以就业需求为导向设置专业。写明为什么要办这个专业，是否从区域经济、产业发展的人才需求来思考。是否进行行业现状和需求调研，省内同（类）专业建设情况调研、学生就业和发展情况调研</w:t>
      </w:r>
    </w:p>
    <w:p>
      <w:pPr>
        <w:spacing w:line="308" w:lineRule="auto"/>
        <w:ind w:firstLine="480" w:firstLineChars="200"/>
        <w:rPr>
          <w:rFonts w:ascii="仿宋" w:hAnsi="仿宋" w:eastAsia="仿宋" w:cs="仿宋"/>
          <w:bCs/>
          <w:sz w:val="24"/>
        </w:rPr>
      </w:pPr>
      <w:r>
        <w:rPr>
          <w:rFonts w:hint="eastAsia" w:ascii="仿宋" w:hAnsi="仿宋" w:eastAsia="仿宋" w:cs="仿宋"/>
          <w:bCs/>
          <w:sz w:val="24"/>
        </w:rPr>
        <w:t>2.专业定位：是否准确可行符合市场需求（办学定位与区域经济社会发展需求的适应度）</w:t>
      </w:r>
    </w:p>
    <w:p>
      <w:pPr>
        <w:spacing w:line="308" w:lineRule="auto"/>
        <w:ind w:firstLine="470" w:firstLineChars="196"/>
        <w:rPr>
          <w:rFonts w:ascii="仿宋" w:hAnsi="仿宋" w:eastAsia="仿宋" w:cs="仿宋"/>
          <w:bCs/>
          <w:sz w:val="24"/>
        </w:rPr>
      </w:pPr>
      <w:r>
        <w:rPr>
          <w:rFonts w:hint="eastAsia" w:ascii="仿宋" w:hAnsi="仿宋" w:eastAsia="仿宋" w:cs="仿宋"/>
          <w:bCs/>
          <w:sz w:val="24"/>
        </w:rPr>
        <w:t>（1）培养目标定位</w:t>
      </w:r>
    </w:p>
    <w:p>
      <w:pPr>
        <w:spacing w:line="308" w:lineRule="auto"/>
        <w:ind w:firstLine="470" w:firstLineChars="196"/>
        <w:rPr>
          <w:rFonts w:ascii="仿宋" w:hAnsi="仿宋" w:eastAsia="仿宋" w:cs="仿宋"/>
          <w:bCs/>
          <w:sz w:val="24"/>
        </w:rPr>
      </w:pPr>
      <w:r>
        <w:rPr>
          <w:rFonts w:hint="eastAsia" w:ascii="仿宋" w:hAnsi="仿宋" w:eastAsia="仿宋" w:cs="仿宋"/>
          <w:bCs/>
          <w:sz w:val="24"/>
        </w:rPr>
        <w:t>是否主动适应区域经济发展的需求，依据国家有关规定、公共基础课程标准和专业教学标准，结合学校办学层次和办学定位，科学合理确定专业培养目标，明确学生的知识、能力和素质要求，保证培养规格。</w:t>
      </w:r>
    </w:p>
    <w:p>
      <w:pPr>
        <w:spacing w:line="308" w:lineRule="auto"/>
        <w:ind w:firstLine="470" w:firstLineChars="196"/>
        <w:rPr>
          <w:rFonts w:ascii="仿宋" w:hAnsi="仿宋" w:eastAsia="仿宋" w:cs="仿宋"/>
          <w:bCs/>
          <w:sz w:val="24"/>
        </w:rPr>
      </w:pPr>
      <w:r>
        <w:rPr>
          <w:rFonts w:hint="eastAsia" w:ascii="仿宋" w:hAnsi="仿宋" w:eastAsia="仿宋" w:cs="仿宋"/>
          <w:bCs/>
          <w:sz w:val="24"/>
        </w:rPr>
        <w:t>（2）就业岗位面向</w:t>
      </w:r>
    </w:p>
    <w:p>
      <w:pPr>
        <w:spacing w:line="308" w:lineRule="auto"/>
        <w:ind w:firstLine="470" w:firstLineChars="196"/>
        <w:rPr>
          <w:rFonts w:ascii="仿宋" w:hAnsi="仿宋" w:eastAsia="仿宋" w:cs="仿宋"/>
          <w:bCs/>
          <w:sz w:val="24"/>
        </w:rPr>
      </w:pPr>
      <w:r>
        <w:rPr>
          <w:rFonts w:hint="eastAsia" w:ascii="仿宋" w:hAnsi="仿宋" w:eastAsia="仿宋" w:cs="仿宋"/>
          <w:bCs/>
          <w:sz w:val="24"/>
        </w:rPr>
        <w:t>初始岗位群；发展岗位群情况</w:t>
      </w:r>
    </w:p>
    <w:p>
      <w:pPr>
        <w:spacing w:line="308" w:lineRule="auto"/>
        <w:ind w:firstLine="480" w:firstLineChars="200"/>
        <w:rPr>
          <w:rFonts w:ascii="仿宋" w:hAnsi="仿宋" w:eastAsia="仿宋" w:cs="仿宋"/>
          <w:bCs/>
          <w:sz w:val="24"/>
        </w:rPr>
      </w:pPr>
      <w:r>
        <w:rPr>
          <w:rFonts w:hint="eastAsia" w:ascii="仿宋" w:hAnsi="仿宋" w:eastAsia="仿宋" w:cs="仿宋"/>
          <w:bCs/>
          <w:sz w:val="24"/>
        </w:rPr>
        <w:t>3.人才培养模式的建构</w:t>
      </w:r>
    </w:p>
    <w:p>
      <w:pPr>
        <w:spacing w:line="308" w:lineRule="auto"/>
        <w:ind w:firstLine="480" w:firstLineChars="200"/>
        <w:rPr>
          <w:rFonts w:ascii="仿宋" w:hAnsi="仿宋" w:eastAsia="仿宋" w:cs="仿宋"/>
          <w:bCs/>
          <w:sz w:val="24"/>
        </w:rPr>
      </w:pPr>
      <w:r>
        <w:rPr>
          <w:rFonts w:hint="eastAsia" w:ascii="仿宋" w:hAnsi="仿宋" w:eastAsia="仿宋" w:cs="仿宋"/>
          <w:bCs/>
          <w:sz w:val="24"/>
        </w:rPr>
        <w:t>是否坚持学用相长、知行合一，着力培养学生的创新精神和实践能力，增强学生的职业适应能力和可持续发展能力，</w:t>
      </w:r>
      <w:r>
        <w:rPr>
          <w:rFonts w:hint="eastAsia" w:ascii="仿宋" w:hAnsi="仿宋" w:eastAsia="仿宋" w:cs="仿宋"/>
          <w:bCs/>
          <w:kern w:val="0"/>
          <w:sz w:val="24"/>
        </w:rPr>
        <w:t>开展产教融合、</w:t>
      </w:r>
      <w:r>
        <w:rPr>
          <w:rFonts w:hint="eastAsia" w:ascii="仿宋" w:hAnsi="仿宋" w:eastAsia="仿宋" w:cs="仿宋"/>
          <w:bCs/>
          <w:sz w:val="24"/>
        </w:rPr>
        <w:t>校企深度合作、订单培养、行动导向、知行合一的人才培养模式的改革，同时培养模式体现教学过程的实践性、开放性、职业性。</w:t>
      </w:r>
    </w:p>
    <w:p>
      <w:pPr>
        <w:spacing w:line="308" w:lineRule="auto"/>
        <w:ind w:firstLine="480" w:firstLineChars="200"/>
        <w:rPr>
          <w:rFonts w:ascii="仿宋" w:hAnsi="仿宋" w:eastAsia="仿宋" w:cs="仿宋"/>
          <w:bCs/>
          <w:sz w:val="24"/>
        </w:rPr>
      </w:pPr>
      <w:r>
        <w:rPr>
          <w:rFonts w:hint="eastAsia" w:ascii="仿宋" w:hAnsi="仿宋" w:eastAsia="仿宋" w:cs="仿宋"/>
          <w:bCs/>
          <w:sz w:val="24"/>
        </w:rPr>
        <w:t>是否坚持把立德树人作为根本任务，不断加强思想政治工作，持续深化“三全育人”综合改革，把立德树人融入思想道德教育、文化知识教育、技术技能培养、社会实践教育各环节，推动思想政治工作体系贯穿教学体系、教材体系、管理体系，切实提升思想政治工作质量。</w:t>
      </w:r>
    </w:p>
    <w:p>
      <w:pPr>
        <w:spacing w:line="308" w:lineRule="auto"/>
        <w:ind w:firstLine="482" w:firstLineChars="200"/>
        <w:rPr>
          <w:rFonts w:hint="eastAsia" w:ascii="楷体" w:hAnsi="楷体" w:eastAsia="楷体" w:cs="楷体"/>
          <w:b/>
          <w:sz w:val="24"/>
        </w:rPr>
      </w:pPr>
      <w:r>
        <w:rPr>
          <w:rFonts w:hint="eastAsia" w:ascii="楷体" w:hAnsi="楷体" w:eastAsia="楷体" w:cs="楷体"/>
          <w:b/>
          <w:sz w:val="24"/>
        </w:rPr>
        <w:t>（三）课程体系与课程改革</w:t>
      </w:r>
    </w:p>
    <w:p>
      <w:pPr>
        <w:spacing w:line="308" w:lineRule="auto"/>
        <w:ind w:firstLine="480" w:firstLineChars="200"/>
        <w:rPr>
          <w:rFonts w:ascii="仿宋" w:hAnsi="仿宋" w:eastAsia="仿宋" w:cs="仿宋"/>
          <w:bCs/>
          <w:sz w:val="24"/>
        </w:rPr>
      </w:pPr>
      <w:r>
        <w:rPr>
          <w:rFonts w:hint="eastAsia" w:ascii="仿宋" w:hAnsi="仿宋" w:eastAsia="仿宋" w:cs="仿宋"/>
          <w:bCs/>
          <w:sz w:val="24"/>
        </w:rPr>
        <w:t>1.课程体系设置</w:t>
      </w:r>
    </w:p>
    <w:p>
      <w:pPr>
        <w:spacing w:line="308" w:lineRule="auto"/>
        <w:ind w:firstLine="480" w:firstLineChars="200"/>
        <w:rPr>
          <w:rFonts w:ascii="仿宋" w:hAnsi="仿宋" w:eastAsia="仿宋" w:cs="仿宋"/>
          <w:bCs/>
          <w:sz w:val="24"/>
        </w:rPr>
      </w:pPr>
      <w:r>
        <w:rPr>
          <w:rFonts w:hint="eastAsia" w:ascii="仿宋" w:hAnsi="仿宋" w:eastAsia="仿宋" w:cs="仿宋"/>
          <w:bCs/>
          <w:sz w:val="24"/>
        </w:rPr>
        <w:t>（1）是否严格按照国家有关规定开齐开足公共基础课程。将思想政治理论课、体育、军事课、心理健康教育等课程列为公共基础必修课程，并将马克思主义理论类课程、党史国史、中华优秀传统文化、职业发展与就业指导、创新创业教育、信息技术、语文、数学、外语、健康教育、美育课程、职业素养等列为必修课或限定选修课。</w:t>
      </w:r>
    </w:p>
    <w:p>
      <w:pPr>
        <w:spacing w:line="308" w:lineRule="auto"/>
        <w:ind w:firstLine="480" w:firstLineChars="200"/>
        <w:rPr>
          <w:rFonts w:ascii="仿宋" w:hAnsi="仿宋" w:eastAsia="仿宋" w:cs="仿宋"/>
          <w:bCs/>
          <w:sz w:val="24"/>
        </w:rPr>
      </w:pPr>
      <w:r>
        <w:rPr>
          <w:rFonts w:hint="eastAsia" w:ascii="仿宋" w:hAnsi="仿宋" w:eastAsia="仿宋" w:cs="仿宋"/>
          <w:bCs/>
          <w:sz w:val="24"/>
        </w:rPr>
        <w:t>是否全面推动习近平新时代中国特色社会主义思想进课程，按规定统一使用马克思主义理论研究和建设工程思政课、专业课教材。结合实习实训强化劳动教育，明确劳动教育时间，弘扬劳动精神、劳模精神，教育引导学生崇尚劳动、尊重劳动。推动中华优秀传统文化融入教育教学，加强革命文化和社会主义先进文化教育。深化体育、美育教学改革，促进学生身心健康，提高学生审美和人文素养。</w:t>
      </w:r>
    </w:p>
    <w:p>
      <w:pPr>
        <w:spacing w:line="308" w:lineRule="auto"/>
        <w:ind w:firstLine="480" w:firstLineChars="200"/>
        <w:rPr>
          <w:rFonts w:ascii="仿宋" w:hAnsi="仿宋" w:eastAsia="仿宋" w:cs="仿宋"/>
          <w:bCs/>
          <w:sz w:val="24"/>
        </w:rPr>
      </w:pPr>
      <w:r>
        <w:rPr>
          <w:rFonts w:hint="eastAsia" w:ascii="仿宋" w:hAnsi="仿宋" w:eastAsia="仿宋" w:cs="仿宋"/>
          <w:bCs/>
          <w:sz w:val="24"/>
        </w:rPr>
        <w:t>是否有根据有关文件规定开设关于国家安全教育、节能减排、绿色环保、金融知识、社会责任、人口资源、海洋科学、管理等人文素养、科学素养方面的选修课程、拓展课程或专题讲座（活动），并将有关知识融入到专业教学和社会实践中。是否组织开展劳动实践、创新创业实践、志愿服务及其他社会公益活动。</w:t>
      </w:r>
    </w:p>
    <w:p>
      <w:pPr>
        <w:spacing w:line="308" w:lineRule="auto"/>
        <w:ind w:firstLine="480" w:firstLineChars="200"/>
        <w:rPr>
          <w:rFonts w:ascii="仿宋" w:hAnsi="仿宋" w:eastAsia="仿宋" w:cs="仿宋"/>
          <w:bCs/>
          <w:sz w:val="24"/>
        </w:rPr>
      </w:pPr>
      <w:r>
        <w:rPr>
          <w:rFonts w:hint="eastAsia" w:ascii="仿宋" w:hAnsi="仿宋" w:eastAsia="仿宋" w:cs="仿宋"/>
          <w:bCs/>
          <w:sz w:val="24"/>
        </w:rPr>
        <w:t>（2）是否科学设置专业（技能）课程。专业（技能）课程设置要与培养目标相适应，课程内容要紧密联系生产劳动实际和社会实践，突出应用性和实践性，注重学生职业能力和职业精神的培养。是否有按照相应职业岗位（群）的能力要求，确定6—8门专业核心课程和若干门专业课程。</w:t>
      </w:r>
    </w:p>
    <w:p>
      <w:pPr>
        <w:spacing w:line="308" w:lineRule="auto"/>
        <w:ind w:firstLine="480" w:firstLineChars="200"/>
        <w:rPr>
          <w:rFonts w:ascii="仿宋" w:hAnsi="仿宋" w:eastAsia="仿宋" w:cs="仿宋"/>
          <w:bCs/>
          <w:sz w:val="24"/>
        </w:rPr>
      </w:pPr>
      <w:r>
        <w:rPr>
          <w:rFonts w:hint="eastAsia" w:ascii="仿宋" w:hAnsi="仿宋" w:eastAsia="仿宋" w:cs="仿宋"/>
          <w:bCs/>
          <w:sz w:val="24"/>
        </w:rPr>
        <w:t>2.课程改革与建设</w:t>
      </w:r>
    </w:p>
    <w:p>
      <w:pPr>
        <w:spacing w:line="308" w:lineRule="auto"/>
        <w:ind w:firstLine="480" w:firstLineChars="200"/>
        <w:rPr>
          <w:rFonts w:ascii="仿宋" w:hAnsi="仿宋" w:eastAsia="仿宋" w:cs="仿宋"/>
          <w:bCs/>
          <w:sz w:val="24"/>
        </w:rPr>
      </w:pPr>
      <w:r>
        <w:rPr>
          <w:rFonts w:hint="eastAsia" w:ascii="仿宋" w:hAnsi="仿宋" w:eastAsia="仿宋" w:cs="仿宋"/>
          <w:bCs/>
          <w:sz w:val="24"/>
        </w:rPr>
        <w:t>（1）是否以职业能力为本位，以工作过程为导向，依据职业标准开发课程体系，按照科技发展水平和职业资格标准设计课程结构和内容。是否将职业资格标准融入教学内容，以工作任务组织教学内容，注重专业知识、思想品德、人文素养和实践能力的融合。在校企合作上更加注重企业的参与，合作制订突出职业能力的课程标准。实行“1+X证书”制度教育，着力培养具有较强岗位适应能力的面向行业企业的高素质技术技能人才。</w:t>
      </w:r>
    </w:p>
    <w:p>
      <w:pPr>
        <w:spacing w:line="308" w:lineRule="auto"/>
        <w:ind w:firstLine="480" w:firstLineChars="200"/>
        <w:rPr>
          <w:rFonts w:ascii="仿宋" w:hAnsi="仿宋" w:eastAsia="仿宋" w:cs="仿宋"/>
          <w:bCs/>
          <w:sz w:val="24"/>
        </w:rPr>
      </w:pPr>
      <w:r>
        <w:rPr>
          <w:rFonts w:hint="eastAsia" w:ascii="仿宋" w:hAnsi="仿宋" w:eastAsia="仿宋" w:cs="仿宋"/>
          <w:bCs/>
          <w:sz w:val="24"/>
        </w:rPr>
        <w:t>（2）是否注重实践性教学环节，加强实践性教学，实践性教学学时是否上占总学时数50%以上。是否积极推行认知实习、跟岗实习、顶岗实习等多种实习方式，强化以育人为目标的实习实训考核评价。学生顶岗实习时间一般为6个月，是否根据专业实际，集中或分阶段安排。是否积极建好用好各类实训基地，强化学生实习实训。统筹推进文化育人、实践育人、活动育人，广泛开展各类社会实践活动。</w:t>
      </w:r>
    </w:p>
    <w:p>
      <w:pPr>
        <w:spacing w:line="308" w:lineRule="auto"/>
        <w:ind w:firstLine="480" w:firstLineChars="200"/>
        <w:rPr>
          <w:rFonts w:ascii="仿宋" w:hAnsi="仿宋" w:eastAsia="仿宋" w:cs="仿宋"/>
          <w:bCs/>
          <w:sz w:val="24"/>
        </w:rPr>
      </w:pPr>
      <w:r>
        <w:rPr>
          <w:rFonts w:hint="eastAsia" w:ascii="仿宋" w:hAnsi="仿宋" w:eastAsia="仿宋" w:cs="仿宋"/>
          <w:bCs/>
          <w:sz w:val="24"/>
        </w:rPr>
        <w:t>（3）是否重视核心课程建设和教材建设，注重与行业、企业合作开发课程和教材，选用优秀高职教材，注重网络课程教学资源建设。</w:t>
      </w:r>
    </w:p>
    <w:p>
      <w:pPr>
        <w:spacing w:line="308" w:lineRule="auto"/>
        <w:ind w:firstLine="480" w:firstLineChars="200"/>
        <w:rPr>
          <w:rFonts w:ascii="仿宋" w:hAnsi="仿宋" w:eastAsia="仿宋" w:cs="仿宋"/>
          <w:bCs/>
          <w:sz w:val="24"/>
        </w:rPr>
      </w:pPr>
      <w:r>
        <w:rPr>
          <w:rFonts w:hint="eastAsia" w:ascii="仿宋" w:hAnsi="仿宋" w:eastAsia="仿宋" w:cs="仿宋"/>
          <w:bCs/>
          <w:sz w:val="24"/>
        </w:rPr>
        <w:t>（4）是否有强化课程思政。积极构建“思政课程+课程思政”大格局，推进全员全过程全方位“三全育人”，实现思想政治教育与技术技能培养的有机统一。结合学生特点，创新思政课程教学模式。强化专业课教师立德树人意识，结合不同专业人才培养特点和专业能力素质要求，梳理每一门课程蕴含的思想政治教育元素，发挥专业课程承载的思想政治教育功能，推动专业课教学与思想政治理论课教学紧密结合、同向同行。</w:t>
      </w:r>
    </w:p>
    <w:p>
      <w:pPr>
        <w:spacing w:line="308" w:lineRule="auto"/>
        <w:ind w:firstLine="480" w:firstLineChars="200"/>
        <w:rPr>
          <w:rFonts w:ascii="仿宋" w:hAnsi="仿宋" w:eastAsia="仿宋" w:cs="仿宋"/>
          <w:bCs/>
          <w:sz w:val="24"/>
        </w:rPr>
      </w:pPr>
      <w:r>
        <w:rPr>
          <w:rFonts w:hint="eastAsia" w:ascii="仿宋" w:hAnsi="仿宋" w:eastAsia="仿宋" w:cs="仿宋"/>
          <w:bCs/>
          <w:sz w:val="24"/>
        </w:rPr>
        <w:t>（5）是否有组织开发专业课程标准和教案。是否有根据专业人才培养方案总体要求，制（修）订专业课程标准，明确课程目标，优化课程内容，规范教学过程，及时将新技术、新工艺、新规范纳入课程标准和教学内容。是否有指导教师准确把握课程教学要求，规范编写、严格执行教案，做好课程总体设计，按程序选用教材，合理运用各类教学资源，做好教学组织实施。</w:t>
      </w:r>
    </w:p>
    <w:p>
      <w:pPr>
        <w:spacing w:line="308" w:lineRule="auto"/>
        <w:ind w:firstLine="480" w:firstLineChars="200"/>
        <w:rPr>
          <w:rFonts w:ascii="仿宋" w:hAnsi="仿宋" w:eastAsia="仿宋" w:cs="仿宋"/>
          <w:bCs/>
          <w:sz w:val="24"/>
        </w:rPr>
      </w:pPr>
      <w:r>
        <w:rPr>
          <w:rFonts w:hint="eastAsia" w:ascii="仿宋" w:hAnsi="仿宋" w:eastAsia="仿宋" w:cs="仿宋"/>
          <w:bCs/>
          <w:sz w:val="24"/>
        </w:rPr>
        <w:t>（6）是否深化教师、教材、教法改革。建设符合项目式、模块化教学需要的教学创新团队，不断优化教师能力结构。健全教材选用制度，选用体现新技术、新工艺、新规范等的高质量教材，引入典型生产案例。总结推广现代学徒制试点经验，普及项目教学、案例教学、情境教学、模块化教学等教学方式，广泛运用启发式、探究式、讨论式、参与式等教学方法，推广翻转课堂、混合式教学、理实一体教学等新型教学模式，推动课堂教学革命。加强课堂教学管理，规范教学秩序，打造优质课堂。</w:t>
      </w:r>
    </w:p>
    <w:p>
      <w:pPr>
        <w:spacing w:line="308" w:lineRule="auto"/>
        <w:ind w:firstLine="480" w:firstLineChars="200"/>
        <w:rPr>
          <w:rFonts w:ascii="仿宋" w:hAnsi="仿宋" w:eastAsia="仿宋" w:cs="仿宋"/>
          <w:bCs/>
          <w:sz w:val="24"/>
        </w:rPr>
      </w:pPr>
      <w:r>
        <w:rPr>
          <w:rFonts w:hint="eastAsia" w:ascii="仿宋" w:hAnsi="仿宋" w:eastAsia="仿宋" w:cs="仿宋"/>
          <w:bCs/>
          <w:sz w:val="24"/>
        </w:rPr>
        <w:t>（7）是否有改进学习过程管理与评价。严格落实培养目标和培养规格要求，加大过程考核、实践技能考核成绩在课程总成绩中的比重。严格考试纪律，健全多元化考核评价体系，完善学生学习过程监测、评价与反馈机制，引导学生自我管理、主动学习，提高学习效率。强化实习、实训、毕业设计（论文）等实践性教学环节的全过程管理与考核评价。</w:t>
      </w:r>
    </w:p>
    <w:p>
      <w:pPr>
        <w:spacing w:line="308" w:lineRule="auto"/>
        <w:ind w:firstLine="482" w:firstLineChars="200"/>
        <w:rPr>
          <w:rFonts w:hint="eastAsia" w:ascii="楷体" w:hAnsi="楷体" w:eastAsia="楷体" w:cs="楷体"/>
          <w:b/>
          <w:sz w:val="24"/>
        </w:rPr>
      </w:pPr>
      <w:r>
        <w:rPr>
          <w:rFonts w:hint="eastAsia" w:ascii="楷体" w:hAnsi="楷体" w:eastAsia="楷体" w:cs="楷体"/>
          <w:b/>
          <w:sz w:val="24"/>
        </w:rPr>
        <w:t>（四）师资队伍建设</w:t>
      </w:r>
    </w:p>
    <w:p>
      <w:pPr>
        <w:spacing w:line="308" w:lineRule="auto"/>
        <w:ind w:firstLine="480" w:firstLineChars="200"/>
        <w:rPr>
          <w:rFonts w:ascii="仿宋" w:hAnsi="仿宋" w:eastAsia="仿宋" w:cs="仿宋"/>
          <w:bCs/>
          <w:sz w:val="24"/>
        </w:rPr>
      </w:pPr>
      <w:r>
        <w:rPr>
          <w:rFonts w:hint="eastAsia" w:ascii="仿宋" w:hAnsi="仿宋" w:eastAsia="仿宋" w:cs="仿宋"/>
          <w:bCs/>
          <w:sz w:val="24"/>
        </w:rPr>
        <w:t>是否以“四有”标准打造数量充足、专兼结合、结构合理的高水平双师队伍。培育引进一批行业有权威的专业建设带头人，着力培养一批能够改进企业产品工艺、解决生产技术难题的骨干教师，合力培育一批具有绝技绝艺的技术技能大师。是否有聘请行业企业领军人才、大师名匠兼职任教。是否建立健全教师职前培养、入职培训和在职研修体系。是否积极建设教师发展中心，提升教师教学和科研能力，促进教师职业发展。是否创新教师评价机制，建立以业绩贡献和能力水平为导向、以目标管理和目标考核为重点的绩效工资动态调整机制，实现多劳多得、优绩优酬。</w:t>
      </w:r>
    </w:p>
    <w:p>
      <w:pPr>
        <w:spacing w:line="308" w:lineRule="auto"/>
        <w:ind w:firstLine="482" w:firstLineChars="200"/>
        <w:rPr>
          <w:rFonts w:hint="eastAsia" w:ascii="楷体" w:hAnsi="楷体" w:eastAsia="楷体" w:cs="楷体"/>
          <w:b/>
          <w:sz w:val="24"/>
        </w:rPr>
      </w:pPr>
      <w:r>
        <w:rPr>
          <w:rFonts w:hint="eastAsia" w:ascii="楷体" w:hAnsi="楷体" w:eastAsia="楷体" w:cs="楷体"/>
          <w:b/>
          <w:sz w:val="24"/>
        </w:rPr>
        <w:t>（五）教学条件与实践教学设计</w:t>
      </w:r>
    </w:p>
    <w:p>
      <w:pPr>
        <w:spacing w:line="308" w:lineRule="auto"/>
        <w:ind w:firstLine="480" w:firstLineChars="200"/>
        <w:rPr>
          <w:rFonts w:ascii="仿宋" w:hAnsi="仿宋" w:eastAsia="仿宋" w:cs="仿宋"/>
          <w:bCs/>
          <w:sz w:val="24"/>
        </w:rPr>
      </w:pPr>
      <w:r>
        <w:rPr>
          <w:rFonts w:hint="eastAsia" w:ascii="仿宋" w:hAnsi="仿宋" w:eastAsia="仿宋" w:cs="仿宋"/>
          <w:bCs/>
          <w:sz w:val="24"/>
        </w:rPr>
        <w:t>1.校内实训基地（实训室）建设，是否能够满足教学需求。</w:t>
      </w:r>
    </w:p>
    <w:p>
      <w:pPr>
        <w:adjustRightInd w:val="0"/>
        <w:snapToGrid w:val="0"/>
        <w:spacing w:line="308" w:lineRule="auto"/>
        <w:ind w:right="105" w:rightChars="50" w:firstLine="480" w:firstLineChars="200"/>
        <w:rPr>
          <w:rFonts w:ascii="仿宋" w:hAnsi="仿宋" w:eastAsia="仿宋" w:cs="仿宋"/>
          <w:bCs/>
          <w:sz w:val="24"/>
        </w:rPr>
      </w:pPr>
      <w:r>
        <w:rPr>
          <w:rFonts w:hint="eastAsia" w:ascii="仿宋" w:hAnsi="仿宋" w:eastAsia="仿宋" w:cs="仿宋"/>
          <w:bCs/>
          <w:sz w:val="24"/>
        </w:rPr>
        <w:t>2.校外实训基地建设。每个专业是否有若干个深度融合的企业，注重校企合作共建生产性实训基地，有一批稳定的校外实习基地；运行状态良好、保障机制完善。</w:t>
      </w:r>
    </w:p>
    <w:p>
      <w:pPr>
        <w:adjustRightInd w:val="0"/>
        <w:snapToGrid w:val="0"/>
        <w:spacing w:line="308" w:lineRule="auto"/>
        <w:ind w:right="105" w:rightChars="50" w:firstLine="480" w:firstLineChars="200"/>
        <w:rPr>
          <w:rFonts w:ascii="仿宋" w:hAnsi="仿宋" w:eastAsia="仿宋" w:cs="仿宋"/>
          <w:bCs/>
          <w:sz w:val="24"/>
        </w:rPr>
      </w:pPr>
      <w:r>
        <w:rPr>
          <w:rFonts w:hint="eastAsia" w:ascii="仿宋" w:hAnsi="仿宋" w:eastAsia="仿宋" w:cs="仿宋"/>
          <w:bCs/>
          <w:sz w:val="24"/>
        </w:rPr>
        <w:t>3.实践教学设计。是否能根据职业能力培养的需要设计实践教学体系，以真实的工作任务为载体设计实践教学项目与内容；生产性实训与顶岗实习安排合理、有效，有一线企业兼职教师参与教学、指导与考核。实践教学文件齐全。</w:t>
      </w:r>
    </w:p>
    <w:p>
      <w:pPr>
        <w:spacing w:line="308" w:lineRule="auto"/>
        <w:ind w:firstLine="480" w:firstLineChars="200"/>
        <w:rPr>
          <w:rFonts w:ascii="仿宋" w:hAnsi="仿宋" w:eastAsia="仿宋" w:cs="仿宋"/>
          <w:bCs/>
          <w:sz w:val="24"/>
        </w:rPr>
      </w:pPr>
      <w:r>
        <w:rPr>
          <w:rFonts w:hint="eastAsia" w:ascii="仿宋" w:hAnsi="仿宋" w:eastAsia="仿宋" w:cs="仿宋"/>
          <w:bCs/>
          <w:sz w:val="24"/>
        </w:rPr>
        <w:t>4.图书资料、优质教学资源和网络信息资源等是否充分开发利用。</w:t>
      </w:r>
    </w:p>
    <w:p>
      <w:pPr>
        <w:spacing w:line="308" w:lineRule="auto"/>
        <w:ind w:firstLine="482" w:firstLineChars="200"/>
        <w:rPr>
          <w:rFonts w:hint="eastAsia" w:ascii="楷体" w:hAnsi="楷体" w:eastAsia="楷体" w:cs="楷体"/>
          <w:b/>
          <w:sz w:val="24"/>
        </w:rPr>
      </w:pPr>
      <w:r>
        <w:rPr>
          <w:rFonts w:hint="eastAsia" w:ascii="楷体" w:hAnsi="楷体" w:eastAsia="楷体" w:cs="楷体"/>
          <w:b/>
          <w:sz w:val="24"/>
        </w:rPr>
        <w:t>（六）教学管理和改革</w:t>
      </w:r>
    </w:p>
    <w:p>
      <w:pPr>
        <w:spacing w:line="308" w:lineRule="auto"/>
        <w:ind w:firstLine="480" w:firstLineChars="200"/>
        <w:rPr>
          <w:rFonts w:ascii="仿宋" w:hAnsi="仿宋" w:eastAsia="仿宋" w:cs="仿宋"/>
          <w:bCs/>
          <w:sz w:val="24"/>
        </w:rPr>
      </w:pPr>
      <w:r>
        <w:rPr>
          <w:rFonts w:hint="eastAsia" w:ascii="仿宋" w:hAnsi="仿宋" w:eastAsia="仿宋" w:cs="仿宋"/>
          <w:bCs/>
          <w:sz w:val="24"/>
        </w:rPr>
        <w:t>1.教学管理队伍、学生管理队伍是否健全。</w:t>
      </w:r>
    </w:p>
    <w:p>
      <w:pPr>
        <w:adjustRightInd w:val="0"/>
        <w:snapToGrid w:val="0"/>
        <w:spacing w:line="308" w:lineRule="auto"/>
        <w:ind w:right="105" w:rightChars="50" w:firstLine="480" w:firstLineChars="200"/>
        <w:rPr>
          <w:rFonts w:ascii="仿宋" w:hAnsi="仿宋" w:eastAsia="仿宋" w:cs="仿宋"/>
          <w:bCs/>
          <w:sz w:val="24"/>
        </w:rPr>
      </w:pPr>
      <w:r>
        <w:rPr>
          <w:rFonts w:hint="eastAsia" w:ascii="仿宋" w:hAnsi="仿宋" w:eastAsia="仿宋" w:cs="仿宋"/>
          <w:bCs/>
          <w:sz w:val="24"/>
        </w:rPr>
        <w:t>2.教学管理制度是否完备、规范，教师教学档案规范；教学质量保障体系是否完备，监控到位；教学运行是否稳定有序，执行有力。</w:t>
      </w:r>
    </w:p>
    <w:p>
      <w:pPr>
        <w:adjustRightInd w:val="0"/>
        <w:snapToGrid w:val="0"/>
        <w:spacing w:line="308" w:lineRule="auto"/>
        <w:ind w:right="105" w:rightChars="50" w:firstLine="480" w:firstLineChars="200"/>
        <w:rPr>
          <w:rFonts w:ascii="仿宋" w:hAnsi="仿宋" w:eastAsia="仿宋" w:cs="仿宋"/>
          <w:bCs/>
          <w:sz w:val="24"/>
        </w:rPr>
      </w:pPr>
      <w:r>
        <w:rPr>
          <w:rFonts w:hint="eastAsia" w:ascii="仿宋" w:hAnsi="仿宋" w:eastAsia="仿宋" w:cs="仿宋"/>
          <w:bCs/>
          <w:sz w:val="24"/>
        </w:rPr>
        <w:t>3.实训室管理制度是否齐全；生产性实训与跟岗、顶岗实习是否安排合理、有效，是否有一线企业兼职教师参与指导与考核。实践教学文件是否齐全（实训安排、实训指南、考核办法等）。</w:t>
      </w:r>
    </w:p>
    <w:p>
      <w:pPr>
        <w:spacing w:line="308" w:lineRule="auto"/>
        <w:ind w:firstLine="482" w:firstLineChars="200"/>
        <w:rPr>
          <w:rFonts w:hint="eastAsia" w:ascii="楷体" w:hAnsi="楷体" w:eastAsia="楷体" w:cs="楷体"/>
          <w:b/>
          <w:sz w:val="24"/>
        </w:rPr>
      </w:pPr>
      <w:r>
        <w:rPr>
          <w:rFonts w:hint="eastAsia" w:ascii="楷体" w:hAnsi="楷体" w:eastAsia="楷体" w:cs="楷体"/>
          <w:b/>
          <w:sz w:val="24"/>
        </w:rPr>
        <w:t>（七）人才培养成效与社会服务</w:t>
      </w:r>
    </w:p>
    <w:p>
      <w:pPr>
        <w:adjustRightInd w:val="0"/>
        <w:snapToGrid w:val="0"/>
        <w:spacing w:line="308" w:lineRule="auto"/>
        <w:ind w:right="105" w:rightChars="50" w:firstLine="480" w:firstLineChars="200"/>
        <w:rPr>
          <w:rFonts w:ascii="仿宋" w:hAnsi="仿宋" w:eastAsia="仿宋" w:cs="仿宋"/>
          <w:bCs/>
          <w:sz w:val="24"/>
        </w:rPr>
      </w:pPr>
      <w:r>
        <w:rPr>
          <w:rFonts w:hint="eastAsia" w:ascii="仿宋" w:hAnsi="仿宋" w:eastAsia="仿宋" w:cs="仿宋"/>
          <w:bCs/>
          <w:sz w:val="24"/>
        </w:rPr>
        <w:t>1.近三年生源质量，第一志愿录取率、新生报到率是否高于全校平均水平。</w:t>
      </w:r>
    </w:p>
    <w:p>
      <w:pPr>
        <w:adjustRightInd w:val="0"/>
        <w:snapToGrid w:val="0"/>
        <w:spacing w:line="308" w:lineRule="auto"/>
        <w:ind w:right="105" w:rightChars="50" w:firstLine="480" w:firstLineChars="200"/>
        <w:rPr>
          <w:rFonts w:ascii="仿宋" w:hAnsi="仿宋" w:eastAsia="仿宋" w:cs="仿宋"/>
          <w:bCs/>
          <w:sz w:val="24"/>
        </w:rPr>
      </w:pPr>
      <w:r>
        <w:rPr>
          <w:rFonts w:hint="eastAsia" w:ascii="仿宋" w:hAnsi="仿宋" w:eastAsia="仿宋" w:cs="仿宋"/>
          <w:bCs/>
          <w:sz w:val="24"/>
        </w:rPr>
        <w:t>2.是否建立了就业保障机制，毕业生就业率高、签约率，就业质量好，高于全校平均水平。</w:t>
      </w:r>
    </w:p>
    <w:p>
      <w:pPr>
        <w:adjustRightInd w:val="0"/>
        <w:snapToGrid w:val="0"/>
        <w:spacing w:line="308" w:lineRule="auto"/>
        <w:ind w:right="105" w:rightChars="50" w:firstLine="480" w:firstLineChars="200"/>
        <w:rPr>
          <w:rFonts w:ascii="仿宋" w:hAnsi="仿宋" w:eastAsia="仿宋" w:cs="仿宋"/>
          <w:bCs/>
          <w:sz w:val="24"/>
        </w:rPr>
      </w:pPr>
      <w:r>
        <w:rPr>
          <w:rFonts w:hint="eastAsia" w:ascii="仿宋" w:hAnsi="仿宋" w:eastAsia="仿宋" w:cs="仿宋"/>
          <w:bCs/>
          <w:sz w:val="24"/>
        </w:rPr>
        <w:t>3.学生职业关键能力，素质教育改革创新的措施、力度、成效，学生创新创业成果，学生职业资格证书或技术等级证书获取率、计算机英语考试通过率，职业技能竞赛参与获奖情况，是否高于全校平均水平。</w:t>
      </w:r>
    </w:p>
    <w:p>
      <w:pPr>
        <w:adjustRightInd w:val="0"/>
        <w:snapToGrid w:val="0"/>
        <w:spacing w:line="308" w:lineRule="auto"/>
        <w:ind w:right="105" w:rightChars="50" w:firstLine="480" w:firstLineChars="200"/>
        <w:rPr>
          <w:rFonts w:ascii="仿宋" w:hAnsi="仿宋" w:eastAsia="仿宋" w:cs="仿宋"/>
          <w:bCs/>
          <w:sz w:val="24"/>
        </w:rPr>
      </w:pPr>
      <w:r>
        <w:rPr>
          <w:rFonts w:hint="eastAsia" w:ascii="仿宋" w:hAnsi="仿宋" w:eastAsia="仿宋" w:cs="仿宋"/>
          <w:bCs/>
          <w:sz w:val="24"/>
        </w:rPr>
        <w:t>4.用人单位对毕业生的综合评价是否良好，专业在行业企业的知名度情况。</w:t>
      </w:r>
    </w:p>
    <w:p>
      <w:pPr>
        <w:spacing w:line="308" w:lineRule="auto"/>
        <w:ind w:firstLine="480" w:firstLineChars="200"/>
        <w:rPr>
          <w:rFonts w:ascii="仿宋" w:hAnsi="仿宋" w:eastAsia="仿宋" w:cs="仿宋"/>
          <w:bCs/>
          <w:sz w:val="24"/>
        </w:rPr>
      </w:pPr>
      <w:r>
        <w:rPr>
          <w:rFonts w:hint="eastAsia" w:ascii="仿宋" w:hAnsi="仿宋" w:eastAsia="仿宋" w:cs="仿宋"/>
          <w:bCs/>
          <w:sz w:val="24"/>
        </w:rPr>
        <w:t>5.专业社会服务，是否能根据社会企业需求和劳动力转移的需要，承担职业技能培训，承担企业技术服务和横向课题，为社会服务。</w:t>
      </w:r>
    </w:p>
    <w:p>
      <w:pPr>
        <w:spacing w:line="308" w:lineRule="auto"/>
        <w:ind w:firstLine="482" w:firstLineChars="200"/>
        <w:rPr>
          <w:rFonts w:hint="eastAsia" w:ascii="楷体" w:hAnsi="楷体" w:eastAsia="楷体" w:cs="楷体"/>
          <w:b/>
          <w:sz w:val="24"/>
        </w:rPr>
      </w:pPr>
      <w:r>
        <w:rPr>
          <w:rFonts w:hint="eastAsia" w:ascii="楷体" w:hAnsi="楷体" w:eastAsia="楷体" w:cs="楷体"/>
          <w:b/>
          <w:sz w:val="24"/>
        </w:rPr>
        <w:t>（八）专业特色</w:t>
      </w:r>
    </w:p>
    <w:p>
      <w:pPr>
        <w:spacing w:line="308" w:lineRule="auto"/>
        <w:ind w:firstLine="480" w:firstLineChars="200"/>
        <w:rPr>
          <w:rFonts w:ascii="仿宋" w:hAnsi="仿宋" w:eastAsia="仿宋" w:cs="仿宋"/>
          <w:bCs/>
          <w:sz w:val="24"/>
        </w:rPr>
      </w:pPr>
      <w:r>
        <w:rPr>
          <w:rFonts w:hint="eastAsia" w:ascii="仿宋" w:hAnsi="仿宋" w:eastAsia="仿宋" w:cs="仿宋"/>
          <w:bCs/>
          <w:sz w:val="24"/>
        </w:rPr>
        <w:t>从人才培养模式；课程体系建设；教育教学改革；创新创业教育；实践教学；师资队伍；校企合作；服务社会……等方面是否有总结凝练专业建设1至2个特色。</w:t>
      </w:r>
    </w:p>
    <w:p>
      <w:pPr>
        <w:adjustRightInd w:val="0"/>
        <w:snapToGrid w:val="0"/>
        <w:spacing w:line="308" w:lineRule="auto"/>
        <w:ind w:right="105" w:rightChars="50" w:firstLine="482" w:firstLineChars="200"/>
        <w:rPr>
          <w:rFonts w:hint="eastAsia" w:ascii="黑体" w:hAnsi="黑体" w:eastAsia="黑体" w:cs="黑体"/>
          <w:bCs/>
          <w:sz w:val="24"/>
          <w:szCs w:val="24"/>
        </w:rPr>
      </w:pPr>
      <w:r>
        <w:rPr>
          <w:rFonts w:hint="eastAsia" w:ascii="黑体" w:hAnsi="黑体" w:eastAsia="黑体" w:cs="黑体"/>
          <w:b/>
          <w:sz w:val="24"/>
          <w:szCs w:val="24"/>
        </w:rPr>
        <w:t>二、专业建设内部质量保证体系框架设计</w:t>
      </w:r>
    </w:p>
    <w:p>
      <w:pPr>
        <w:adjustRightInd w:val="0"/>
        <w:snapToGrid w:val="0"/>
        <w:spacing w:line="308" w:lineRule="auto"/>
        <w:ind w:right="105" w:rightChars="50" w:firstLine="480" w:firstLineChars="200"/>
        <w:rPr>
          <w:rFonts w:ascii="仿宋" w:hAnsi="仿宋" w:eastAsia="仿宋" w:cs="仿宋"/>
          <w:bCs/>
          <w:sz w:val="24"/>
        </w:rPr>
      </w:pPr>
      <w:r>
        <w:rPr>
          <w:rFonts w:hint="eastAsia" w:ascii="仿宋" w:hAnsi="仿宋" w:eastAsia="仿宋" w:cs="仿宋"/>
          <w:bCs/>
          <w:sz w:val="24"/>
        </w:rPr>
        <w:t>专业建设内部质量保证体系建立思路为基于学校体系框架，以专业建设为统领，以人才培养为主线，引入标准，设计内部质保体系，具体如下图所示。</w:t>
      </w:r>
    </w:p>
    <w:p>
      <w:pPr>
        <w:rPr>
          <w:rFonts w:ascii="仿宋" w:hAnsi="仿宋" w:eastAsia="仿宋" w:cs="仿宋"/>
          <w:bCs/>
          <w:sz w:val="24"/>
        </w:rPr>
      </w:pPr>
      <w:r>
        <w:rPr>
          <w:rFonts w:hint="eastAsia" w:ascii="仿宋" w:hAnsi="仿宋" w:eastAsia="仿宋" w:cs="仿宋"/>
          <w:bCs/>
          <w:sz w:val="24"/>
        </w:rPr>
        <w:br w:type="page"/>
      </w:r>
    </w:p>
    <w:p>
      <w:pPr>
        <w:rPr>
          <w:rFonts w:ascii="仿宋" w:hAnsi="仿宋" w:eastAsia="仿宋" w:cs="仿宋"/>
          <w:bCs/>
          <w:sz w:val="24"/>
        </w:rPr>
      </w:pPr>
      <w:r>
        <w:rPr>
          <w:rFonts w:hint="eastAsia" w:ascii="仿宋" w:hAnsi="仿宋" w:eastAsia="仿宋" w:cs="仿宋"/>
          <w:bCs/>
          <w:sz w:val="24"/>
        </w:rPr>
        <w:drawing>
          <wp:inline distT="0" distB="0" distL="114300" distR="114300">
            <wp:extent cx="5749925" cy="7832725"/>
            <wp:effectExtent l="0" t="0" r="3175" b="15875"/>
            <wp:docPr id="15" name="图片 15" descr="专业层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专业层面"/>
                    <pic:cNvPicPr>
                      <a:picLocks noChangeAspect="1"/>
                    </pic:cNvPicPr>
                  </pic:nvPicPr>
                  <pic:blipFill>
                    <a:blip r:embed="rId4"/>
                    <a:stretch>
                      <a:fillRect/>
                    </a:stretch>
                  </pic:blipFill>
                  <pic:spPr>
                    <a:xfrm>
                      <a:off x="0" y="0"/>
                      <a:ext cx="5749925" cy="7832725"/>
                    </a:xfrm>
                    <a:prstGeom prst="rect">
                      <a:avLst/>
                    </a:prstGeom>
                  </pic:spPr>
                </pic:pic>
              </a:graphicData>
            </a:graphic>
          </wp:inline>
        </w:drawing>
      </w:r>
      <w:r>
        <w:rPr>
          <w:rFonts w:hint="eastAsia" w:ascii="仿宋" w:hAnsi="仿宋" w:eastAsia="仿宋" w:cs="仿宋"/>
          <w:bCs/>
          <w:sz w:val="24"/>
        </w:rPr>
        <w:br w:type="page"/>
      </w:r>
    </w:p>
    <w:p>
      <w:pPr>
        <w:adjustRightInd w:val="0"/>
        <w:snapToGrid w:val="0"/>
        <w:spacing w:line="308" w:lineRule="auto"/>
        <w:ind w:right="105" w:rightChars="50" w:firstLine="482" w:firstLineChars="200"/>
        <w:rPr>
          <w:rFonts w:hint="eastAsia" w:ascii="黑体" w:hAnsi="黑体" w:eastAsia="黑体" w:cs="黑体"/>
          <w:b/>
          <w:sz w:val="24"/>
        </w:rPr>
      </w:pPr>
      <w:r>
        <w:rPr>
          <w:rFonts w:hint="eastAsia" w:ascii="黑体" w:hAnsi="黑体" w:eastAsia="黑体" w:cs="黑体"/>
          <w:b/>
          <w:sz w:val="24"/>
        </w:rPr>
        <w:t>三、两链构建和质量改进螺旋设计</w:t>
      </w:r>
    </w:p>
    <w:p>
      <w:pPr>
        <w:adjustRightInd w:val="0"/>
        <w:snapToGrid w:val="0"/>
        <w:spacing w:line="308" w:lineRule="auto"/>
        <w:ind w:right="105" w:rightChars="50" w:firstLine="482" w:firstLineChars="200"/>
        <w:rPr>
          <w:rFonts w:hint="eastAsia" w:ascii="楷体" w:hAnsi="楷体" w:eastAsia="楷体" w:cs="楷体"/>
          <w:bCs/>
          <w:sz w:val="24"/>
        </w:rPr>
      </w:pPr>
      <w:r>
        <w:rPr>
          <w:rFonts w:hint="eastAsia" w:ascii="楷体" w:hAnsi="楷体" w:eastAsia="楷体" w:cs="楷体"/>
          <w:b/>
          <w:sz w:val="24"/>
        </w:rPr>
        <w:t>（一）目标链构建</w:t>
      </w:r>
    </w:p>
    <w:p>
      <w:pPr>
        <w:adjustRightInd w:val="0"/>
        <w:snapToGrid w:val="0"/>
        <w:spacing w:line="308" w:lineRule="auto"/>
        <w:ind w:right="105" w:rightChars="50" w:firstLine="480" w:firstLineChars="200"/>
        <w:rPr>
          <w:rFonts w:ascii="仿宋" w:hAnsi="仿宋" w:eastAsia="仿宋" w:cs="仿宋"/>
          <w:bCs/>
          <w:sz w:val="24"/>
        </w:rPr>
      </w:pPr>
      <w:r>
        <w:rPr>
          <w:rFonts w:hint="eastAsia" w:ascii="仿宋" w:hAnsi="仿宋" w:eastAsia="仿宋" w:cs="仿宋"/>
          <w:bCs/>
          <w:sz w:val="24"/>
        </w:rPr>
        <w:t>此目标链构成为该专业本轮诊改的总目标以及分解到专业建设各核心要素的具体目标，具体如下表所示。</w:t>
      </w:r>
    </w:p>
    <w:p>
      <w:pPr>
        <w:adjustRightInd w:val="0"/>
        <w:snapToGrid w:val="0"/>
        <w:spacing w:before="156" w:beforeLines="50" w:line="308" w:lineRule="auto"/>
        <w:jc w:val="center"/>
        <w:rPr>
          <w:rFonts w:ascii="仿宋" w:hAnsi="仿宋" w:eastAsia="仿宋" w:cs="仿宋"/>
          <w:bCs/>
          <w:kern w:val="0"/>
          <w:sz w:val="24"/>
        </w:rPr>
      </w:pPr>
      <w:r>
        <w:rPr>
          <w:rFonts w:hint="eastAsia" w:ascii="仿宋" w:hAnsi="仿宋" w:eastAsia="仿宋" w:cs="仿宋"/>
          <w:b/>
          <w:sz w:val="24"/>
        </w:rPr>
        <w:t>专业建设目标链</w:t>
      </w:r>
    </w:p>
    <w:tbl>
      <w:tblPr>
        <w:tblStyle w:val="9"/>
        <w:tblW w:w="9982" w:type="dxa"/>
        <w:jc w:val="center"/>
        <w:tblLayout w:type="autofit"/>
        <w:tblCellMar>
          <w:top w:w="0" w:type="dxa"/>
          <w:left w:w="108" w:type="dxa"/>
          <w:bottom w:w="0" w:type="dxa"/>
          <w:right w:w="108" w:type="dxa"/>
        </w:tblCellMar>
      </w:tblPr>
      <w:tblGrid>
        <w:gridCol w:w="745"/>
        <w:gridCol w:w="932"/>
        <w:gridCol w:w="8305"/>
      </w:tblGrid>
      <w:tr>
        <w:tblPrEx>
          <w:tblCellMar>
            <w:top w:w="0" w:type="dxa"/>
            <w:left w:w="108" w:type="dxa"/>
            <w:bottom w:w="0" w:type="dxa"/>
            <w:right w:w="108" w:type="dxa"/>
          </w:tblCellMar>
        </w:tblPrEx>
        <w:trPr>
          <w:trHeight w:val="90" w:hRule="atLeast"/>
          <w:jc w:val="center"/>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b/>
                <w:bCs/>
                <w:color w:val="000000"/>
                <w:kern w:val="0"/>
                <w:sz w:val="22"/>
                <w:szCs w:val="22"/>
                <w:lang w:bidi="ar"/>
              </w:rPr>
            </w:pPr>
            <w:r>
              <w:rPr>
                <w:rFonts w:hint="eastAsia" w:ascii="仿宋" w:hAnsi="仿宋" w:eastAsia="仿宋" w:cs="仿宋"/>
                <w:b/>
                <w:bCs/>
                <w:color w:val="000000"/>
                <w:kern w:val="0"/>
                <w:sz w:val="22"/>
                <w:szCs w:val="22"/>
                <w:lang w:bidi="ar"/>
              </w:rPr>
              <w:t>关键</w:t>
            </w:r>
          </w:p>
          <w:p>
            <w:pPr>
              <w:widowControl/>
              <w:spacing w:line="308" w:lineRule="auto"/>
              <w:jc w:val="center"/>
              <w:textAlignment w:val="center"/>
              <w:rPr>
                <w:rFonts w:ascii="仿宋" w:hAnsi="仿宋" w:eastAsia="仿宋" w:cs="仿宋"/>
                <w:b/>
                <w:bCs/>
                <w:color w:val="000000"/>
                <w:kern w:val="0"/>
                <w:sz w:val="22"/>
                <w:szCs w:val="22"/>
                <w:lang w:bidi="ar"/>
              </w:rPr>
            </w:pPr>
            <w:r>
              <w:rPr>
                <w:rFonts w:hint="eastAsia" w:ascii="仿宋" w:hAnsi="仿宋" w:eastAsia="仿宋" w:cs="仿宋"/>
                <w:b/>
                <w:bCs/>
                <w:color w:val="000000"/>
                <w:kern w:val="0"/>
                <w:sz w:val="22"/>
                <w:szCs w:val="22"/>
                <w:lang w:bidi="ar"/>
              </w:rPr>
              <w:t>建设</w:t>
            </w:r>
          </w:p>
          <w:p>
            <w:pPr>
              <w:widowControl/>
              <w:spacing w:line="308" w:lineRule="auto"/>
              <w:jc w:val="center"/>
              <w:textAlignment w:val="center"/>
              <w:rPr>
                <w:rFonts w:ascii="仿宋" w:hAnsi="仿宋" w:eastAsia="仿宋" w:cs="仿宋"/>
                <w:b/>
                <w:bCs/>
                <w:color w:val="000000"/>
                <w:sz w:val="22"/>
                <w:szCs w:val="22"/>
              </w:rPr>
            </w:pPr>
            <w:r>
              <w:rPr>
                <w:rFonts w:hint="eastAsia" w:ascii="仿宋" w:hAnsi="仿宋" w:eastAsia="仿宋" w:cs="仿宋"/>
                <w:b/>
                <w:bCs/>
                <w:color w:val="000000"/>
                <w:kern w:val="0"/>
                <w:sz w:val="22"/>
                <w:szCs w:val="22"/>
                <w:lang w:bidi="ar"/>
              </w:rPr>
              <w:t>要素</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b/>
                <w:bCs/>
                <w:color w:val="000000"/>
                <w:kern w:val="0"/>
                <w:sz w:val="22"/>
                <w:szCs w:val="22"/>
                <w:lang w:bidi="ar"/>
              </w:rPr>
            </w:pPr>
            <w:r>
              <w:rPr>
                <w:rFonts w:hint="eastAsia" w:ascii="仿宋" w:hAnsi="仿宋" w:eastAsia="仿宋" w:cs="仿宋"/>
                <w:b/>
                <w:bCs/>
                <w:color w:val="000000"/>
                <w:kern w:val="0"/>
                <w:sz w:val="22"/>
                <w:szCs w:val="22"/>
                <w:lang w:bidi="ar"/>
              </w:rPr>
              <w:t>重点</w:t>
            </w:r>
          </w:p>
          <w:p>
            <w:pPr>
              <w:widowControl/>
              <w:spacing w:line="308" w:lineRule="auto"/>
              <w:jc w:val="center"/>
              <w:textAlignment w:val="center"/>
              <w:rPr>
                <w:rFonts w:ascii="仿宋" w:hAnsi="仿宋" w:eastAsia="仿宋" w:cs="仿宋"/>
                <w:b/>
                <w:bCs/>
                <w:color w:val="000000"/>
                <w:kern w:val="0"/>
                <w:sz w:val="22"/>
                <w:szCs w:val="22"/>
                <w:lang w:bidi="ar"/>
              </w:rPr>
            </w:pPr>
            <w:r>
              <w:rPr>
                <w:rFonts w:hint="eastAsia" w:ascii="仿宋" w:hAnsi="仿宋" w:eastAsia="仿宋" w:cs="仿宋"/>
                <w:b/>
                <w:bCs/>
                <w:color w:val="000000"/>
                <w:kern w:val="0"/>
                <w:sz w:val="22"/>
                <w:szCs w:val="22"/>
                <w:lang w:bidi="ar"/>
              </w:rPr>
              <w:t>建设</w:t>
            </w:r>
          </w:p>
          <w:p>
            <w:pPr>
              <w:widowControl/>
              <w:spacing w:line="308" w:lineRule="auto"/>
              <w:jc w:val="center"/>
              <w:textAlignment w:val="center"/>
              <w:rPr>
                <w:rFonts w:ascii="仿宋" w:hAnsi="仿宋" w:eastAsia="仿宋" w:cs="仿宋"/>
                <w:b/>
                <w:bCs/>
                <w:color w:val="000000"/>
                <w:sz w:val="22"/>
                <w:szCs w:val="22"/>
              </w:rPr>
            </w:pPr>
            <w:r>
              <w:rPr>
                <w:rFonts w:hint="eastAsia" w:ascii="仿宋" w:hAnsi="仿宋" w:eastAsia="仿宋" w:cs="仿宋"/>
                <w:b/>
                <w:bCs/>
                <w:color w:val="000000"/>
                <w:kern w:val="0"/>
                <w:sz w:val="22"/>
                <w:szCs w:val="22"/>
                <w:lang w:bidi="ar"/>
              </w:rPr>
              <w:t>内容</w:t>
            </w:r>
          </w:p>
        </w:tc>
        <w:tc>
          <w:tcPr>
            <w:tcW w:w="8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b/>
                <w:bCs/>
                <w:color w:val="000000"/>
                <w:kern w:val="0"/>
                <w:sz w:val="22"/>
                <w:szCs w:val="22"/>
                <w:lang w:bidi="ar"/>
              </w:rPr>
            </w:pPr>
            <w:r>
              <w:rPr>
                <w:rFonts w:hint="eastAsia" w:ascii="仿宋" w:hAnsi="仿宋" w:eastAsia="仿宋" w:cs="仿宋"/>
                <w:b/>
                <w:bCs/>
                <w:color w:val="000000"/>
                <w:kern w:val="0"/>
                <w:sz w:val="22"/>
                <w:szCs w:val="22"/>
                <w:lang w:bidi="ar"/>
              </w:rPr>
              <w:t>建设</w:t>
            </w:r>
          </w:p>
          <w:p>
            <w:pPr>
              <w:widowControl/>
              <w:spacing w:line="308" w:lineRule="auto"/>
              <w:jc w:val="center"/>
              <w:textAlignment w:val="center"/>
              <w:rPr>
                <w:rFonts w:ascii="仿宋" w:hAnsi="仿宋" w:eastAsia="仿宋" w:cs="仿宋"/>
                <w:b/>
                <w:bCs/>
                <w:color w:val="000000"/>
                <w:sz w:val="22"/>
                <w:szCs w:val="22"/>
              </w:rPr>
            </w:pPr>
            <w:r>
              <w:rPr>
                <w:rFonts w:hint="eastAsia" w:ascii="仿宋" w:hAnsi="仿宋" w:eastAsia="仿宋" w:cs="仿宋"/>
                <w:b/>
                <w:bCs/>
                <w:color w:val="000000"/>
                <w:kern w:val="0"/>
                <w:sz w:val="22"/>
                <w:szCs w:val="22"/>
                <w:lang w:bidi="ar"/>
              </w:rPr>
              <w:t>目标</w:t>
            </w:r>
          </w:p>
        </w:tc>
      </w:tr>
      <w:tr>
        <w:tblPrEx>
          <w:tblCellMar>
            <w:top w:w="0" w:type="dxa"/>
            <w:left w:w="108" w:type="dxa"/>
            <w:bottom w:w="0" w:type="dxa"/>
            <w:right w:w="108" w:type="dxa"/>
          </w:tblCellMar>
        </w:tblPrEx>
        <w:trPr>
          <w:trHeight w:val="941" w:hRule="atLeast"/>
          <w:jc w:val="center"/>
        </w:trPr>
        <w:tc>
          <w:tcPr>
            <w:tcW w:w="7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专业设置与人才培养模式</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专业</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调研</w:t>
            </w:r>
          </w:p>
        </w:tc>
        <w:tc>
          <w:tcPr>
            <w:tcW w:w="8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1.能够面向区域和地方经济发展，面向生产、服务与管理第一线设置专业，能够将当地产业结构和社会人才需求的变化趋势作为确定专业体系主体框架的依据分析到位。</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2.专业口径宽窄适当。</w:t>
            </w:r>
          </w:p>
        </w:tc>
      </w:tr>
      <w:tr>
        <w:tblPrEx>
          <w:tblCellMar>
            <w:top w:w="0" w:type="dxa"/>
            <w:left w:w="108" w:type="dxa"/>
            <w:bottom w:w="0" w:type="dxa"/>
            <w:right w:w="108" w:type="dxa"/>
          </w:tblCellMar>
        </w:tblPrEx>
        <w:trPr>
          <w:trHeight w:val="629" w:hRule="atLeast"/>
          <w:jc w:val="center"/>
        </w:trPr>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center"/>
              <w:rPr>
                <w:rFonts w:ascii="仿宋" w:hAnsi="仿宋" w:eastAsia="仿宋" w:cs="仿宋"/>
                <w:color w:val="000000"/>
                <w:sz w:val="22"/>
                <w:szCs w:val="22"/>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专业</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定位</w:t>
            </w:r>
          </w:p>
        </w:tc>
        <w:tc>
          <w:tcPr>
            <w:tcW w:w="8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能够以学生职业生涯发展为目标，能够清楚表明该专业在全省中的专业布点情况和所属地位，准确清晰专业定位，符合市场需求。</w:t>
            </w:r>
          </w:p>
        </w:tc>
      </w:tr>
      <w:tr>
        <w:tblPrEx>
          <w:tblCellMar>
            <w:top w:w="0" w:type="dxa"/>
            <w:left w:w="108" w:type="dxa"/>
            <w:bottom w:w="0" w:type="dxa"/>
            <w:right w:w="108" w:type="dxa"/>
          </w:tblCellMar>
        </w:tblPrEx>
        <w:trPr>
          <w:trHeight w:val="439" w:hRule="atLeast"/>
          <w:jc w:val="center"/>
        </w:trPr>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center"/>
              <w:rPr>
                <w:rFonts w:ascii="仿宋" w:hAnsi="仿宋" w:eastAsia="仿宋" w:cs="仿宋"/>
                <w:color w:val="000000"/>
                <w:sz w:val="22"/>
                <w:szCs w:val="22"/>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专业建设规划</w:t>
            </w:r>
          </w:p>
        </w:tc>
        <w:tc>
          <w:tcPr>
            <w:tcW w:w="8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专业建设有规划，目标定位准确，建设思路清晰，实施方案具体，保障措施得力，行业、企业参与专业建设。</w:t>
            </w:r>
          </w:p>
        </w:tc>
      </w:tr>
      <w:tr>
        <w:tblPrEx>
          <w:tblCellMar>
            <w:top w:w="0" w:type="dxa"/>
            <w:left w:w="108" w:type="dxa"/>
            <w:bottom w:w="0" w:type="dxa"/>
            <w:right w:w="108" w:type="dxa"/>
          </w:tblCellMar>
        </w:tblPrEx>
        <w:trPr>
          <w:trHeight w:val="872" w:hRule="atLeast"/>
          <w:jc w:val="center"/>
        </w:trPr>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center"/>
              <w:rPr>
                <w:rFonts w:ascii="仿宋" w:hAnsi="仿宋" w:eastAsia="仿宋" w:cs="仿宋"/>
                <w:color w:val="000000"/>
                <w:sz w:val="22"/>
                <w:szCs w:val="22"/>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岗位及需求调研</w:t>
            </w:r>
          </w:p>
        </w:tc>
        <w:tc>
          <w:tcPr>
            <w:tcW w:w="8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能够对专业从业人员基本情况、对应的一线职业岗位分析、对应的职业资格证书分析、专业人才招聘渠道分析、该专业在职人员进修需求分析等内容用准确、可量化的语言进行描述，并对完成任务应掌握的职业能力作出较为详细的描述。</w:t>
            </w:r>
          </w:p>
        </w:tc>
      </w:tr>
      <w:tr>
        <w:tblPrEx>
          <w:tblCellMar>
            <w:top w:w="0" w:type="dxa"/>
            <w:left w:w="108" w:type="dxa"/>
            <w:bottom w:w="0" w:type="dxa"/>
            <w:right w:w="108" w:type="dxa"/>
          </w:tblCellMar>
        </w:tblPrEx>
        <w:trPr>
          <w:trHeight w:val="878" w:hRule="atLeast"/>
          <w:jc w:val="center"/>
        </w:trPr>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center"/>
              <w:rPr>
                <w:rFonts w:ascii="仿宋" w:hAnsi="仿宋" w:eastAsia="仿宋" w:cs="仿宋"/>
                <w:color w:val="000000"/>
                <w:sz w:val="22"/>
                <w:szCs w:val="22"/>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培养目标</w:t>
            </w:r>
          </w:p>
        </w:tc>
        <w:tc>
          <w:tcPr>
            <w:tcW w:w="8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sz w:val="22"/>
                <w:szCs w:val="22"/>
              </w:rPr>
              <w:t>能依据国家有关规定、公共基础课程标准和专业教学标准，结合学校办学层次和办学定位，科学合理确定专业培养目标，明确学生的知识、能力和素质要求，保证培养规格。</w:t>
            </w:r>
          </w:p>
        </w:tc>
      </w:tr>
      <w:tr>
        <w:tblPrEx>
          <w:tblCellMar>
            <w:top w:w="0" w:type="dxa"/>
            <w:left w:w="108" w:type="dxa"/>
            <w:bottom w:w="0" w:type="dxa"/>
            <w:right w:w="108" w:type="dxa"/>
          </w:tblCellMar>
        </w:tblPrEx>
        <w:trPr>
          <w:trHeight w:val="1955" w:hRule="atLeast"/>
          <w:jc w:val="center"/>
        </w:trPr>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center"/>
              <w:rPr>
                <w:rFonts w:ascii="仿宋" w:hAnsi="仿宋" w:eastAsia="仿宋" w:cs="仿宋"/>
                <w:color w:val="000000"/>
                <w:sz w:val="22"/>
                <w:szCs w:val="22"/>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人才培养模式</w:t>
            </w:r>
          </w:p>
        </w:tc>
        <w:tc>
          <w:tcPr>
            <w:tcW w:w="8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1.坚持学用相长、知行合一，着力培养学生的创新精神和实践能力，增强学生的职业适应能力和可持续发展能力，开展产教融合、校企深度合作、订单培养、行动导向、知行合一的人才培养模式的改革，同时培养模式体现教学过程的实践性、开放性、职业性。</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2.坚持把立德树人作为根本任务，不断加强思想政治工作，持续深化“三全育人”综合改革，把立德树人融入思想道德教育、文化知识教育、技术技能培养、社会实践教育各环节，推动思想政治工作体系贯穿教学体系、教材体系、管理体系，切实提升思想政治工作质量。</w:t>
            </w:r>
          </w:p>
        </w:tc>
      </w:tr>
      <w:tr>
        <w:tblPrEx>
          <w:tblCellMar>
            <w:top w:w="0" w:type="dxa"/>
            <w:left w:w="108" w:type="dxa"/>
            <w:bottom w:w="0" w:type="dxa"/>
            <w:right w:w="108" w:type="dxa"/>
          </w:tblCellMar>
        </w:tblPrEx>
        <w:trPr>
          <w:trHeight w:val="96" w:hRule="atLeast"/>
          <w:jc w:val="center"/>
        </w:trPr>
        <w:tc>
          <w:tcPr>
            <w:tcW w:w="7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课程体系和课程改革</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课程体系设置</w:t>
            </w:r>
          </w:p>
        </w:tc>
        <w:tc>
          <w:tcPr>
            <w:tcW w:w="8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1.严格按照国家有关规定开齐开足公共基础课程。全面推动习近平新时代中国特色社会主义思想进课程，结合实习实训强化劳动教育，推动中华优秀传统文化融入教育教学，加强革命文化和社会主义先进文化教育。深化体育、美育教学改革，促进学生身心健康，提高学生审美和人文素养。开设关于国家安全教育、节能减排、绿色环保等人文素养、科学素养方面的选修课程、拓展课程或专题讲座（活动），并将有关知识融入到专业教学和社会实践中。组织开展劳动实践、创新创业实践、志愿服务及其他社会公益活动。</w:t>
            </w:r>
          </w:p>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2.科学设置专业（技能）课程。专业（技能）课程设置与培养目标相适应，课程内容紧密联系生产劳动实际和社会实践，突出应用性和实践性，注重学生职业能力和职业精神的培养。按照相应职业岗位（群）的能力要求，确定6—8门专业核心课程和若干门专业课程。</w:t>
            </w:r>
          </w:p>
        </w:tc>
      </w:tr>
      <w:tr>
        <w:tblPrEx>
          <w:tblCellMar>
            <w:top w:w="0" w:type="dxa"/>
            <w:left w:w="108" w:type="dxa"/>
            <w:bottom w:w="0" w:type="dxa"/>
            <w:right w:w="108" w:type="dxa"/>
          </w:tblCellMar>
        </w:tblPrEx>
        <w:trPr>
          <w:trHeight w:val="2388" w:hRule="atLeast"/>
          <w:jc w:val="center"/>
        </w:trPr>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center"/>
              <w:rPr>
                <w:rFonts w:ascii="仿宋" w:hAnsi="仿宋" w:eastAsia="仿宋" w:cs="仿宋"/>
                <w:color w:val="000000"/>
                <w:sz w:val="22"/>
                <w:szCs w:val="22"/>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课程改革与建设</w:t>
            </w:r>
          </w:p>
        </w:tc>
        <w:tc>
          <w:tcPr>
            <w:tcW w:w="8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kern w:val="0"/>
                <w:sz w:val="22"/>
                <w:szCs w:val="22"/>
                <w:lang w:bidi="ar"/>
              </w:rPr>
              <w:t>1.校企合作制订突出职业能力的课程标准，引入职业资格证书或技术等级证书，实施“1+X证书”制度教育。</w:t>
            </w:r>
            <w:r>
              <w:rPr>
                <w:rFonts w:hint="eastAsia" w:ascii="仿宋" w:hAnsi="仿宋" w:eastAsia="仿宋" w:cs="仿宋"/>
                <w:kern w:val="0"/>
                <w:sz w:val="22"/>
                <w:szCs w:val="22"/>
                <w:lang w:bidi="ar"/>
              </w:rPr>
              <w:br w:type="textWrapping"/>
            </w:r>
            <w:r>
              <w:rPr>
                <w:rFonts w:hint="eastAsia" w:ascii="仿宋" w:hAnsi="仿宋" w:eastAsia="仿宋" w:cs="仿宋"/>
                <w:kern w:val="0"/>
                <w:sz w:val="22"/>
                <w:szCs w:val="22"/>
                <w:lang w:bidi="ar"/>
              </w:rPr>
              <w:t>2.注重实践性教学环节，加强实践性教学</w:t>
            </w:r>
            <w:r>
              <w:rPr>
                <w:rFonts w:hint="eastAsia" w:ascii="仿宋" w:hAnsi="仿宋" w:eastAsia="仿宋" w:cs="仿宋"/>
                <w:kern w:val="0"/>
                <w:sz w:val="22"/>
                <w:szCs w:val="22"/>
                <w:lang w:bidi="ar"/>
              </w:rPr>
              <w:br w:type="textWrapping"/>
            </w:r>
            <w:r>
              <w:rPr>
                <w:rFonts w:hint="eastAsia" w:ascii="仿宋" w:hAnsi="仿宋" w:eastAsia="仿宋" w:cs="仿宋"/>
                <w:kern w:val="0"/>
                <w:sz w:val="22"/>
                <w:szCs w:val="22"/>
                <w:lang w:bidi="ar"/>
              </w:rPr>
              <w:t>3.重视优质核心课程建设和教材建设，注重与行业、企业合作开发课程和教材，选用优秀教材。</w:t>
            </w:r>
            <w:r>
              <w:rPr>
                <w:rFonts w:hint="eastAsia" w:ascii="仿宋" w:hAnsi="仿宋" w:eastAsia="仿宋" w:cs="仿宋"/>
                <w:kern w:val="0"/>
                <w:sz w:val="22"/>
                <w:szCs w:val="22"/>
                <w:lang w:bidi="ar"/>
              </w:rPr>
              <w:br w:type="textWrapping"/>
            </w:r>
            <w:r>
              <w:rPr>
                <w:rFonts w:hint="eastAsia" w:ascii="仿宋" w:hAnsi="仿宋" w:eastAsia="仿宋" w:cs="仿宋"/>
                <w:kern w:val="0"/>
                <w:sz w:val="22"/>
                <w:szCs w:val="22"/>
                <w:lang w:bidi="ar"/>
              </w:rPr>
              <w:t>4.强化课程思政，推动专业课教学与思想政治理论课教学紧密结合、同向同行。</w:t>
            </w:r>
            <w:r>
              <w:rPr>
                <w:rFonts w:hint="eastAsia" w:ascii="仿宋" w:hAnsi="仿宋" w:eastAsia="仿宋" w:cs="仿宋"/>
                <w:kern w:val="0"/>
                <w:sz w:val="22"/>
                <w:szCs w:val="22"/>
                <w:lang w:bidi="ar"/>
              </w:rPr>
              <w:br w:type="textWrapping"/>
            </w:r>
            <w:r>
              <w:rPr>
                <w:rFonts w:hint="eastAsia" w:ascii="仿宋" w:hAnsi="仿宋" w:eastAsia="仿宋" w:cs="仿宋"/>
                <w:kern w:val="0"/>
                <w:sz w:val="22"/>
                <w:szCs w:val="22"/>
                <w:lang w:bidi="ar"/>
              </w:rPr>
              <w:t>5.组织开发专业课程标准和教案，明确课程目标，优化课程内容，规范教学过程，及时将新技术、新工艺、新规范纳入课程标准和教学内容。</w:t>
            </w:r>
            <w:r>
              <w:rPr>
                <w:rFonts w:hint="eastAsia" w:ascii="仿宋" w:hAnsi="仿宋" w:eastAsia="仿宋" w:cs="仿宋"/>
                <w:kern w:val="0"/>
                <w:sz w:val="22"/>
                <w:szCs w:val="22"/>
                <w:lang w:bidi="ar"/>
              </w:rPr>
              <w:br w:type="textWrapping"/>
            </w:r>
            <w:r>
              <w:rPr>
                <w:rFonts w:hint="eastAsia" w:ascii="仿宋" w:hAnsi="仿宋" w:eastAsia="仿宋" w:cs="仿宋"/>
                <w:kern w:val="0"/>
                <w:sz w:val="22"/>
                <w:szCs w:val="22"/>
                <w:lang w:bidi="ar"/>
              </w:rPr>
              <w:t>6.深化教师、教材、教法改革。</w:t>
            </w:r>
            <w:r>
              <w:rPr>
                <w:rFonts w:hint="eastAsia" w:ascii="仿宋" w:hAnsi="仿宋" w:eastAsia="仿宋" w:cs="仿宋"/>
                <w:kern w:val="0"/>
                <w:sz w:val="22"/>
                <w:szCs w:val="22"/>
                <w:lang w:bidi="ar"/>
              </w:rPr>
              <w:br w:type="textWrapping"/>
            </w:r>
            <w:r>
              <w:rPr>
                <w:rFonts w:hint="eastAsia" w:ascii="仿宋" w:hAnsi="仿宋" w:eastAsia="仿宋" w:cs="仿宋"/>
                <w:kern w:val="0"/>
                <w:sz w:val="22"/>
                <w:szCs w:val="22"/>
                <w:lang w:bidi="ar"/>
              </w:rPr>
              <w:t>7.改进学习过程管理与评价。</w:t>
            </w:r>
          </w:p>
        </w:tc>
      </w:tr>
      <w:tr>
        <w:tblPrEx>
          <w:tblCellMar>
            <w:top w:w="0" w:type="dxa"/>
            <w:left w:w="108" w:type="dxa"/>
            <w:bottom w:w="0" w:type="dxa"/>
            <w:right w:w="108" w:type="dxa"/>
          </w:tblCellMar>
        </w:tblPrEx>
        <w:trPr>
          <w:trHeight w:val="2187" w:hRule="atLeast"/>
          <w:jc w:val="center"/>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师资队伍建设</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师资队伍建设</w:t>
            </w:r>
          </w:p>
        </w:tc>
        <w:tc>
          <w:tcPr>
            <w:tcW w:w="8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1.专业教学团队知识、职称、年龄、学历等结构合理。</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2.专业带头人在行业企业有一定的影响力。</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3.专任教师具有行业、企业经历比例较大，“双师”素质比例较高。</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4.聘请行业、企业专业人才和能工巧匠担任兼职教师，“双师”结构合理。</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5.专任教师教科研情况及取得的显著成果。</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6.师资队伍建设有规划，引进、培养有举措，经费有保障，评价机制合理。</w:t>
            </w:r>
          </w:p>
        </w:tc>
      </w:tr>
      <w:tr>
        <w:tblPrEx>
          <w:tblCellMar>
            <w:top w:w="0" w:type="dxa"/>
            <w:left w:w="108" w:type="dxa"/>
            <w:bottom w:w="0" w:type="dxa"/>
            <w:right w:w="108" w:type="dxa"/>
          </w:tblCellMar>
        </w:tblPrEx>
        <w:trPr>
          <w:trHeight w:val="1875" w:hRule="atLeast"/>
          <w:jc w:val="center"/>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教学条件与实践教学设计</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教学条件与实践教学设计</w:t>
            </w:r>
          </w:p>
        </w:tc>
        <w:tc>
          <w:tcPr>
            <w:tcW w:w="8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1.校内实训基地能够满足教学计划的安排，生产性实训比例逐步加大。</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2.每个专业有若干个深度融合的企业，注重校企合作共建生产性实训基地，有一批稳定的校外实习基地。</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3.校外实习基地运行状态良好，保障机制完善。</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4.图书资料、优质教学资源和网络信息资源丰富，开发利用较好。</w:t>
            </w:r>
          </w:p>
        </w:tc>
      </w:tr>
      <w:tr>
        <w:tblPrEx>
          <w:tblCellMar>
            <w:top w:w="0" w:type="dxa"/>
            <w:left w:w="108" w:type="dxa"/>
            <w:bottom w:w="0" w:type="dxa"/>
            <w:right w:w="108" w:type="dxa"/>
          </w:tblCellMar>
        </w:tblPrEx>
        <w:trPr>
          <w:trHeight w:val="656" w:hRule="atLeast"/>
          <w:jc w:val="center"/>
        </w:trPr>
        <w:tc>
          <w:tcPr>
            <w:tcW w:w="7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教学管理与改革</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教学管理</w:t>
            </w:r>
          </w:p>
        </w:tc>
        <w:tc>
          <w:tcPr>
            <w:tcW w:w="8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1.教学管理制度完备、规范，教育教学管理队伍、学生管理队伍健全，教师教学档案规范，教学质量保障体系完备，教学运行稳定有序，执行有力。</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2.注重教学管理体制改革，建立校企合作长效机制，顶岗实习管理体系完备。</w:t>
            </w:r>
          </w:p>
        </w:tc>
      </w:tr>
      <w:tr>
        <w:tblPrEx>
          <w:tblCellMar>
            <w:top w:w="0" w:type="dxa"/>
            <w:left w:w="108" w:type="dxa"/>
            <w:bottom w:w="0" w:type="dxa"/>
            <w:right w:w="108" w:type="dxa"/>
          </w:tblCellMar>
        </w:tblPrEx>
        <w:trPr>
          <w:trHeight w:val="1124" w:hRule="atLeast"/>
          <w:jc w:val="center"/>
        </w:trPr>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center"/>
              <w:rPr>
                <w:rFonts w:ascii="仿宋" w:hAnsi="仿宋" w:eastAsia="仿宋" w:cs="仿宋"/>
                <w:color w:val="000000"/>
                <w:sz w:val="22"/>
                <w:szCs w:val="22"/>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教学改革</w:t>
            </w:r>
          </w:p>
        </w:tc>
        <w:tc>
          <w:tcPr>
            <w:tcW w:w="8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1.注重教学方法和手段的改革，采用新颖多样的教学形式、现代化的教学手段，灵活多元的考核评价方式，融“教、学、做”为一体。</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2.重视教师教科研能力和社会服务能力的培养，社会服务开展情况及成效。</w:t>
            </w:r>
          </w:p>
        </w:tc>
      </w:tr>
      <w:tr>
        <w:tblPrEx>
          <w:tblCellMar>
            <w:top w:w="0" w:type="dxa"/>
            <w:left w:w="108" w:type="dxa"/>
            <w:bottom w:w="0" w:type="dxa"/>
            <w:right w:w="108" w:type="dxa"/>
          </w:tblCellMar>
        </w:tblPrEx>
        <w:trPr>
          <w:trHeight w:val="90" w:hRule="atLeast"/>
          <w:jc w:val="center"/>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人才培养成效与社会服务</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人才培养成效与社会服务</w:t>
            </w:r>
          </w:p>
        </w:tc>
        <w:tc>
          <w:tcPr>
            <w:tcW w:w="8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1.生源质量，第一志愿录取率、新生报到率高于全校平均水平。</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2.建立了就业保障机制，毕业生就业率、签约率，就业质量高于全校平均水平。</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3.学生职业关键能力、素质教育改革创新的措施、力度、成效，学生创新创业成果，</w:t>
            </w:r>
            <w:r>
              <w:rPr>
                <w:rFonts w:hint="eastAsia" w:ascii="仿宋" w:hAnsi="仿宋" w:eastAsia="仿宋" w:cs="仿宋"/>
                <w:kern w:val="0"/>
                <w:sz w:val="22"/>
                <w:szCs w:val="22"/>
                <w:lang w:bidi="ar"/>
              </w:rPr>
              <w:t>学生</w:t>
            </w:r>
            <w:r>
              <w:rPr>
                <w:rFonts w:hint="eastAsia" w:ascii="仿宋" w:hAnsi="仿宋" w:eastAsia="仿宋" w:cs="仿宋"/>
                <w:color w:val="000000"/>
                <w:kern w:val="0"/>
                <w:sz w:val="22"/>
                <w:szCs w:val="22"/>
                <w:lang w:bidi="ar"/>
              </w:rPr>
              <w:t>职业资格证书或技术等级证书</w:t>
            </w:r>
            <w:r>
              <w:rPr>
                <w:rFonts w:hint="eastAsia" w:ascii="仿宋" w:hAnsi="仿宋" w:eastAsia="仿宋" w:cs="仿宋"/>
                <w:kern w:val="0"/>
                <w:sz w:val="22"/>
                <w:szCs w:val="22"/>
                <w:lang w:bidi="ar"/>
              </w:rPr>
              <w:t>获取率、计算机英语考试通过率，职业技能竞赛参与获奖情况</w:t>
            </w:r>
            <w:r>
              <w:rPr>
                <w:rFonts w:hint="eastAsia" w:ascii="仿宋" w:hAnsi="仿宋" w:eastAsia="仿宋" w:cs="仿宋"/>
                <w:color w:val="000000"/>
                <w:kern w:val="0"/>
                <w:sz w:val="22"/>
                <w:szCs w:val="22"/>
                <w:lang w:bidi="ar"/>
              </w:rPr>
              <w:t>高于全校平均水平。</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4.用人单位对毕业生的综合评价，专业在行业企业的知名度良好。</w:t>
            </w:r>
          </w:p>
        </w:tc>
      </w:tr>
      <w:tr>
        <w:tblPrEx>
          <w:tblCellMar>
            <w:top w:w="0" w:type="dxa"/>
            <w:left w:w="108" w:type="dxa"/>
            <w:bottom w:w="0" w:type="dxa"/>
            <w:right w:w="108" w:type="dxa"/>
          </w:tblCellMar>
        </w:tblPrEx>
        <w:trPr>
          <w:trHeight w:val="790" w:hRule="atLeast"/>
          <w:jc w:val="center"/>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专业</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特色</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专业</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特色</w:t>
            </w:r>
          </w:p>
        </w:tc>
        <w:tc>
          <w:tcPr>
            <w:tcW w:w="8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能从人才培养模式；课程体系建设；教育教学改革；创新创业教育；实践教学；师资队伍；校企合作；服务社会……等方面有总结凝练专业建设1至2个特色。</w:t>
            </w:r>
          </w:p>
        </w:tc>
      </w:tr>
    </w:tbl>
    <w:p>
      <w:pPr>
        <w:adjustRightInd w:val="0"/>
        <w:snapToGrid w:val="0"/>
        <w:spacing w:line="308" w:lineRule="auto"/>
        <w:ind w:right="105" w:rightChars="50" w:firstLine="482" w:firstLineChars="200"/>
        <w:rPr>
          <w:rFonts w:ascii="仿宋" w:hAnsi="仿宋" w:eastAsia="仿宋" w:cs="仿宋"/>
          <w:b/>
          <w:sz w:val="24"/>
        </w:rPr>
      </w:pPr>
    </w:p>
    <w:p>
      <w:pPr>
        <w:adjustRightInd w:val="0"/>
        <w:snapToGrid w:val="0"/>
        <w:spacing w:line="308" w:lineRule="auto"/>
        <w:ind w:right="105" w:rightChars="50" w:firstLine="482" w:firstLineChars="200"/>
        <w:rPr>
          <w:rFonts w:hint="eastAsia" w:ascii="楷体" w:hAnsi="楷体" w:eastAsia="楷体" w:cs="楷体"/>
          <w:b/>
          <w:sz w:val="24"/>
        </w:rPr>
      </w:pPr>
      <w:r>
        <w:rPr>
          <w:rFonts w:hint="eastAsia" w:ascii="楷体" w:hAnsi="楷体" w:eastAsia="楷体" w:cs="楷体"/>
          <w:b/>
          <w:sz w:val="24"/>
        </w:rPr>
        <w:t>（二）标准链构建</w:t>
      </w:r>
    </w:p>
    <w:p>
      <w:pPr>
        <w:adjustRightInd w:val="0"/>
        <w:snapToGrid w:val="0"/>
        <w:spacing w:line="308" w:lineRule="auto"/>
        <w:ind w:right="105" w:rightChars="50" w:firstLine="480" w:firstLineChars="200"/>
        <w:rPr>
          <w:rFonts w:ascii="仿宋" w:hAnsi="仿宋" w:eastAsia="仿宋" w:cs="仿宋"/>
          <w:bCs/>
          <w:sz w:val="24"/>
        </w:rPr>
      </w:pPr>
      <w:r>
        <w:rPr>
          <w:rFonts w:hint="eastAsia" w:ascii="仿宋" w:hAnsi="仿宋" w:eastAsia="仿宋" w:cs="仿宋"/>
          <w:bCs/>
          <w:sz w:val="24"/>
        </w:rPr>
        <w:t>依据目标链，引入国、省、市、校标准，对应形成标准链，具体如下表所示。</w:t>
      </w:r>
    </w:p>
    <w:p>
      <w:pPr>
        <w:adjustRightInd w:val="0"/>
        <w:snapToGrid w:val="0"/>
        <w:spacing w:line="308" w:lineRule="auto"/>
        <w:ind w:right="105" w:rightChars="50"/>
        <w:jc w:val="center"/>
        <w:rPr>
          <w:rFonts w:ascii="仿宋" w:hAnsi="仿宋" w:eastAsia="仿宋" w:cs="仿宋"/>
          <w:b/>
          <w:sz w:val="24"/>
        </w:rPr>
      </w:pPr>
      <w:r>
        <w:rPr>
          <w:rFonts w:hint="eastAsia" w:ascii="仿宋" w:hAnsi="仿宋" w:eastAsia="仿宋" w:cs="仿宋"/>
          <w:b/>
          <w:sz w:val="24"/>
        </w:rPr>
        <w:t>专业建设标准链</w:t>
      </w:r>
    </w:p>
    <w:tbl>
      <w:tblPr>
        <w:tblStyle w:val="9"/>
        <w:tblW w:w="10007" w:type="dxa"/>
        <w:jc w:val="center"/>
        <w:tblLayout w:type="autofit"/>
        <w:tblCellMar>
          <w:top w:w="0" w:type="dxa"/>
          <w:left w:w="108" w:type="dxa"/>
          <w:bottom w:w="0" w:type="dxa"/>
          <w:right w:w="108" w:type="dxa"/>
        </w:tblCellMar>
      </w:tblPr>
      <w:tblGrid>
        <w:gridCol w:w="1620"/>
        <w:gridCol w:w="8387"/>
      </w:tblGrid>
      <w:tr>
        <w:tblPrEx>
          <w:tblCellMar>
            <w:top w:w="0" w:type="dxa"/>
            <w:left w:w="108" w:type="dxa"/>
            <w:bottom w:w="0" w:type="dxa"/>
            <w:right w:w="108" w:type="dxa"/>
          </w:tblCellMar>
        </w:tblPrEx>
        <w:trPr>
          <w:trHeight w:val="240" w:hRule="atLeast"/>
          <w:jc w:val="center"/>
        </w:trPr>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b/>
                <w:bCs/>
                <w:color w:val="000000"/>
                <w:sz w:val="20"/>
                <w:szCs w:val="20"/>
              </w:rPr>
            </w:pPr>
            <w:r>
              <w:rPr>
                <w:rFonts w:hint="eastAsia" w:ascii="仿宋" w:hAnsi="仿宋" w:eastAsia="仿宋" w:cs="仿宋"/>
                <w:b/>
                <w:bCs/>
                <w:color w:val="000000"/>
                <w:sz w:val="20"/>
                <w:szCs w:val="20"/>
              </w:rPr>
              <w:t>主要维度</w:t>
            </w: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center"/>
              <w:textAlignment w:val="top"/>
              <w:rPr>
                <w:rFonts w:ascii="仿宋" w:hAnsi="仿宋" w:eastAsia="仿宋" w:cs="仿宋"/>
                <w:b/>
                <w:bCs/>
                <w:color w:val="000000"/>
                <w:sz w:val="20"/>
                <w:szCs w:val="20"/>
              </w:rPr>
            </w:pPr>
            <w:r>
              <w:rPr>
                <w:rFonts w:hint="eastAsia" w:ascii="仿宋" w:hAnsi="仿宋" w:eastAsia="仿宋" w:cs="仿宋"/>
                <w:b/>
                <w:bCs/>
                <w:color w:val="000000"/>
                <w:kern w:val="0"/>
                <w:sz w:val="20"/>
                <w:szCs w:val="20"/>
                <w:lang w:bidi="ar"/>
              </w:rPr>
              <w:t>相关标准</w:t>
            </w:r>
          </w:p>
        </w:tc>
      </w:tr>
      <w:tr>
        <w:tblPrEx>
          <w:tblCellMar>
            <w:top w:w="0" w:type="dxa"/>
            <w:left w:w="108" w:type="dxa"/>
            <w:bottom w:w="0" w:type="dxa"/>
            <w:right w:w="108" w:type="dxa"/>
          </w:tblCellMar>
        </w:tblPrEx>
        <w:trPr>
          <w:trHeight w:val="240" w:hRule="atLeast"/>
          <w:jc w:val="center"/>
        </w:trPr>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国家有关文件</w:t>
            </w: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教育部等七部门关于印发《职业学校教师企业实践规定》的通知（教师〔2016〕3 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 财政部《关于实施职业院校教师素质提高计划（2017—2020年）的意见》（教师〔2016〕10 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《国务院办公厅关于深化产教融合的若干意见》（国办发〔2017〕95 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教育部等六部门关于印发《职业学校校企合作促进办法》的通知（教职成〔2018〕1 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教育部关于印发《教育信息化 2.0 行动计划》的通知（教技〔2018〕6 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国务院关于印发《国家职业教育改革实施方案》的通知（国发〔2019〕4 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 财政部《关于实施中国特色高水平高职学校和专业建设计划的意见》（教职成〔2019〕5 号）</w:t>
            </w:r>
          </w:p>
        </w:tc>
      </w:tr>
      <w:tr>
        <w:tblPrEx>
          <w:tblCellMar>
            <w:top w:w="0" w:type="dxa"/>
            <w:left w:w="108" w:type="dxa"/>
            <w:bottom w:w="0" w:type="dxa"/>
            <w:right w:w="108" w:type="dxa"/>
          </w:tblCellMar>
        </w:tblPrEx>
        <w:trPr>
          <w:trHeight w:val="48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教育部等四部门印发《关于在院校实施“学历证书+若干职业技能等级证书”制度试点方案》的通知（教职成〔2019〕6 号）</w:t>
            </w:r>
          </w:p>
        </w:tc>
      </w:tr>
      <w:tr>
        <w:tblPrEx>
          <w:tblCellMar>
            <w:top w:w="0" w:type="dxa"/>
            <w:left w:w="108" w:type="dxa"/>
            <w:bottom w:w="0" w:type="dxa"/>
            <w:right w:w="108" w:type="dxa"/>
          </w:tblCellMar>
        </w:tblPrEx>
        <w:trPr>
          <w:trHeight w:val="48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 财政部关于印发《中国特色高水平高职学校和专业建设计划项目遴选管理办法（试行）》的通知（教职成〔2019〕8 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《中国教育现代化 2035》（2019 年 2 月）</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《加快推进教育现代化实施方案（2018－2022 年）》（2019 年 2月）</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国家发改委 教育部印发《建设产教融合型企业实施办法（试行）》（2019 年 4 月 3 日）</w:t>
            </w:r>
          </w:p>
        </w:tc>
      </w:tr>
      <w:tr>
        <w:tblPrEx>
          <w:tblCellMar>
            <w:top w:w="0" w:type="dxa"/>
            <w:left w:w="108" w:type="dxa"/>
            <w:bottom w:w="0" w:type="dxa"/>
            <w:right w:w="108" w:type="dxa"/>
          </w:tblCellMar>
        </w:tblPrEx>
        <w:trPr>
          <w:trHeight w:val="264"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教育部办公厅关于印发《教育部产学合作协同育人项目管理办法》的通知（教高厅〔2020〕1号）</w:t>
            </w:r>
            <w:r>
              <w:rPr>
                <w:rFonts w:ascii="Arial" w:hAnsi="Arial" w:eastAsia="仿宋" w:cs="Arial"/>
                <w:color w:val="000000"/>
                <w:kern w:val="0"/>
                <w:sz w:val="20"/>
                <w:szCs w:val="20"/>
                <w:lang w:bidi="ar"/>
              </w:rPr>
              <w:t xml:space="preserve"> </w:t>
            </w:r>
          </w:p>
        </w:tc>
      </w:tr>
      <w:tr>
        <w:tblPrEx>
          <w:tblCellMar>
            <w:top w:w="0" w:type="dxa"/>
            <w:left w:w="108" w:type="dxa"/>
            <w:bottom w:w="0" w:type="dxa"/>
            <w:right w:w="108" w:type="dxa"/>
          </w:tblCellMar>
        </w:tblPrEx>
        <w:trPr>
          <w:trHeight w:val="264"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新时代高等学校思想政治理论课教师队伍建设规定（中华人民共和国教育部令第46号）</w:t>
            </w:r>
            <w:r>
              <w:rPr>
                <w:rFonts w:ascii="Arial" w:hAnsi="Arial" w:eastAsia="仿宋" w:cs="Arial"/>
                <w:color w:val="000000"/>
                <w:kern w:val="0"/>
                <w:sz w:val="20"/>
                <w:szCs w:val="20"/>
                <w:lang w:bidi="ar"/>
              </w:rPr>
              <w:t xml:space="preserve"> </w:t>
            </w:r>
          </w:p>
        </w:tc>
      </w:tr>
      <w:tr>
        <w:tblPrEx>
          <w:tblCellMar>
            <w:top w:w="0" w:type="dxa"/>
            <w:left w:w="108" w:type="dxa"/>
            <w:bottom w:w="0" w:type="dxa"/>
            <w:right w:w="108" w:type="dxa"/>
          </w:tblCellMar>
        </w:tblPrEx>
        <w:trPr>
          <w:trHeight w:val="264"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教育部等八部门关于加快构建高校思想政治工作体系的意见（教思政〔2020〕1号） </w:t>
            </w:r>
            <w:r>
              <w:rPr>
                <w:rFonts w:ascii="Arial" w:hAnsi="Arial" w:eastAsia="仿宋" w:cs="Arial"/>
                <w:color w:val="000000"/>
                <w:kern w:val="0"/>
                <w:sz w:val="20"/>
                <w:szCs w:val="20"/>
                <w:lang w:bidi="ar"/>
              </w:rPr>
              <w:t xml:space="preserve"> </w:t>
            </w:r>
          </w:p>
        </w:tc>
      </w:tr>
      <w:tr>
        <w:tblPrEx>
          <w:tblCellMar>
            <w:top w:w="0" w:type="dxa"/>
            <w:left w:w="108" w:type="dxa"/>
            <w:bottom w:w="0" w:type="dxa"/>
            <w:right w:w="108" w:type="dxa"/>
          </w:tblCellMar>
        </w:tblPrEx>
        <w:trPr>
          <w:trHeight w:val="264"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教育部办公厅关于印发《未来技术学院建设指南（试行）》的通知（教高厅函〔2020〕6号）</w:t>
            </w:r>
            <w:r>
              <w:rPr>
                <w:rStyle w:val="21"/>
                <w:rFonts w:eastAsia="仿宋"/>
                <w:lang w:bidi="ar"/>
              </w:rPr>
              <w:t xml:space="preserve"> </w:t>
            </w:r>
          </w:p>
        </w:tc>
      </w:tr>
      <w:tr>
        <w:tblPrEx>
          <w:tblCellMar>
            <w:top w:w="0" w:type="dxa"/>
            <w:left w:w="108" w:type="dxa"/>
            <w:bottom w:w="0" w:type="dxa"/>
            <w:right w:w="108" w:type="dxa"/>
          </w:tblCellMar>
        </w:tblPrEx>
        <w:trPr>
          <w:trHeight w:val="264"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教育部关于印发《高等学校课程思政建设指导纲要》的通知（教高〔2020〕3号）</w:t>
            </w:r>
            <w:r>
              <w:rPr>
                <w:rFonts w:ascii="Arial" w:hAnsi="Arial" w:eastAsia="仿宋" w:cs="Arial"/>
                <w:color w:val="000000"/>
                <w:kern w:val="0"/>
                <w:sz w:val="20"/>
                <w:szCs w:val="20"/>
                <w:lang w:bidi="ar"/>
              </w:rPr>
              <w:t xml:space="preserve"> </w:t>
            </w:r>
          </w:p>
        </w:tc>
      </w:tr>
      <w:tr>
        <w:tblPrEx>
          <w:tblCellMar>
            <w:top w:w="0" w:type="dxa"/>
            <w:left w:w="108" w:type="dxa"/>
            <w:bottom w:w="0" w:type="dxa"/>
            <w:right w:w="108" w:type="dxa"/>
          </w:tblCellMar>
        </w:tblPrEx>
        <w:trPr>
          <w:trHeight w:val="504"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教育部办公厅 工业和信息化部办公厅关于印发《特色化示范性软件学院建设指南（试行）》的通知（教高厅函〔2020〕11号）</w:t>
            </w:r>
            <w:r>
              <w:rPr>
                <w:rStyle w:val="21"/>
                <w:rFonts w:eastAsia="仿宋"/>
                <w:lang w:bidi="ar"/>
              </w:rPr>
              <w:t xml:space="preserve"> </w:t>
            </w:r>
          </w:p>
        </w:tc>
      </w:tr>
      <w:tr>
        <w:tblPrEx>
          <w:tblCellMar>
            <w:top w:w="0" w:type="dxa"/>
            <w:left w:w="108" w:type="dxa"/>
            <w:bottom w:w="0" w:type="dxa"/>
            <w:right w:w="108" w:type="dxa"/>
          </w:tblCellMar>
        </w:tblPrEx>
        <w:trPr>
          <w:trHeight w:val="264"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教育部关于发布《职业院校数字校园规范》的通知（教职成函〔2020〕3号）</w:t>
            </w:r>
            <w:r>
              <w:rPr>
                <w:rStyle w:val="21"/>
                <w:rFonts w:eastAsia="仿宋"/>
                <w:lang w:bidi="ar"/>
              </w:rPr>
              <w:t xml:space="preserve"> </w:t>
            </w:r>
          </w:p>
        </w:tc>
      </w:tr>
      <w:tr>
        <w:tblPrEx>
          <w:tblCellMar>
            <w:top w:w="0" w:type="dxa"/>
            <w:left w:w="108" w:type="dxa"/>
            <w:bottom w:w="0" w:type="dxa"/>
            <w:right w:w="108" w:type="dxa"/>
          </w:tblCellMar>
        </w:tblPrEx>
        <w:trPr>
          <w:trHeight w:val="264"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教育部关于印发《大中小学劳动教育指导纲要（试行）》的通知（教材〔2020〕4号）</w:t>
            </w:r>
            <w:r>
              <w:rPr>
                <w:rStyle w:val="21"/>
                <w:rFonts w:eastAsia="仿宋"/>
                <w:lang w:bidi="ar"/>
              </w:rPr>
              <w:t xml:space="preserve"> </w:t>
            </w:r>
          </w:p>
        </w:tc>
      </w:tr>
      <w:tr>
        <w:tblPrEx>
          <w:tblCellMar>
            <w:top w:w="0" w:type="dxa"/>
            <w:left w:w="108" w:type="dxa"/>
            <w:bottom w:w="0" w:type="dxa"/>
            <w:right w:w="108" w:type="dxa"/>
          </w:tblCellMar>
        </w:tblPrEx>
        <w:trPr>
          <w:trHeight w:val="264"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教育部办公厅 工业和信息化部办公厅关于印发《现代产业学院建设指南（试行）》的通知（教高厅函〔2020〕16号）</w:t>
            </w:r>
            <w:r>
              <w:rPr>
                <w:rStyle w:val="21"/>
                <w:rFonts w:eastAsia="仿宋"/>
                <w:lang w:bidi="ar"/>
              </w:rPr>
              <w:t xml:space="preserve"> </w:t>
            </w:r>
          </w:p>
        </w:tc>
      </w:tr>
      <w:tr>
        <w:tblPrEx>
          <w:tblCellMar>
            <w:top w:w="0" w:type="dxa"/>
            <w:left w:w="108" w:type="dxa"/>
            <w:bottom w:w="0" w:type="dxa"/>
            <w:right w:w="108" w:type="dxa"/>
          </w:tblCellMar>
        </w:tblPrEx>
        <w:trPr>
          <w:trHeight w:val="264"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教育部等九部门关于印发《职业教育提质培优行动计划（2020—2023年）》的通知（教职成〔2020〕7号）</w:t>
            </w:r>
            <w:r>
              <w:rPr>
                <w:rStyle w:val="21"/>
                <w:rFonts w:eastAsia="仿宋"/>
                <w:lang w:bidi="ar"/>
              </w:rPr>
              <w:t xml:space="preserve"> </w:t>
            </w:r>
          </w:p>
        </w:tc>
      </w:tr>
      <w:tr>
        <w:tblPrEx>
          <w:tblCellMar>
            <w:top w:w="0" w:type="dxa"/>
            <w:left w:w="108" w:type="dxa"/>
            <w:bottom w:w="0" w:type="dxa"/>
            <w:right w:w="108" w:type="dxa"/>
          </w:tblCellMar>
        </w:tblPrEx>
        <w:trPr>
          <w:trHeight w:val="48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《求是》杂志发布习近平总书记2019年3月18日在学校思想政治理论课教师座谈会上的重要讲话《思政课是落实立德树人根本任务的关键课程》</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中共中央、国务院印发《深化新时代教育评价改革总体方案》</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中共中央办公厅、国务院办公厅印发《关于全面加强和改进新时代学校体育工作的意见》</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中共中央办公厅、国务院办公厅印发《关于全面加强和改进新时代学校美育工作的意见》</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教育部印发《大中小学国家安全教育指导纲要》</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教育部办公厅印发《关于进一步做好高职学校退役军人学生招收、培养与管理工作的通知》（教职成厅函〔2020〕16号）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教育部印发《关于破除高校哲学社会科学研究评价中“唯论文”不良导向的若干意见的通知》（教社科〔2020〕3号）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教育部、财政部印发《中国特色高水平高职学校和专业建设计划绩效管理暂行办法》（教职成〔2020〕8号）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中共中央宣传部、教育部印发《新时代思想政治理论课改革创新实施方案》（教材〔2020〕6号）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教育部印发《中国教育检测与评价统计指标体系（2020版）》（教发〔2020〕6号）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人力资源社会保障部、教育部印发《关于深化高等学校教师职称制度改革的指导意见》（人社部〔2020〕100号）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教育部等六部门印发《关于加强新时代高校教师队伍建设改革的指导意见》（教师〔2020〕10号）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教育部印发《关于加强新时代教育管理信息化工作的通知》（教科信函〔2021〕13号）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教育部印发《高等学校数字校园建设规范（试行）》（教科信函〔2021〕14号）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教育部印发《职业教育专业目录（2021年）》（教职成〔2021〕2号）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教育部办公厅印发《高等职业教育专科英语课程标准（2021年版）》</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教育部办公厅印发《高等职业教育专科信息技术课程标准（2021年版）》</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《关于推进习近平法治思想纳入高校法治理论教学体系的通知》（教高厅函〔2021〕17号）</w:t>
            </w:r>
          </w:p>
        </w:tc>
      </w:tr>
      <w:tr>
        <w:tblPrEx>
          <w:tblCellMar>
            <w:top w:w="0" w:type="dxa"/>
            <w:left w:w="108" w:type="dxa"/>
            <w:bottom w:w="0" w:type="dxa"/>
            <w:right w:w="108" w:type="dxa"/>
          </w:tblCellMar>
        </w:tblPrEx>
        <w:trPr>
          <w:trHeight w:val="48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教育部办公厅公布《关于高等职业学校电子信息工程技术专业实训教学条件建设标准》等32项职业教育教学标准的通知（教职成厅函〔2021〕12号）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《关于5G应用“扬帆”行动计划（2021-2023年）的通知》（工信部联通信〔2021〕77号）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教育部等六部门发布《关于推进教育新型基础设施建设构建高质量教育支撑体系的指导意见》（2021年7月）</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教育部印发《关于高等学校碳中和科技创新行动计划》的通知（教科信函〔2021〕30号）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国家教材委员会关于印发《习近平新时代中国特色社会主义思想进课程教材指南》的通知（国教材〔2021〕2号）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教育部、财政部发布《关于实施职业院校教师素质提高计划（2021—2025年）的通知》（教师函〔2021〕6号）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人力资源社会保障部、教育部发布《关于深化实验技术人才职称制度改革的指导意见》（人社部发〔2021〕62号）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教育部印发《关于学习贯彻习近平总书记给全国高校黄大年式教师团队代表重要回信精神的通知》（教师〔2021〕6号）</w:t>
            </w:r>
          </w:p>
        </w:tc>
      </w:tr>
      <w:tr>
        <w:tblPrEx>
          <w:tblCellMar>
            <w:top w:w="0" w:type="dxa"/>
            <w:left w:w="108" w:type="dxa"/>
            <w:bottom w:w="0" w:type="dxa"/>
            <w:right w:w="108" w:type="dxa"/>
          </w:tblCellMar>
        </w:tblPrEx>
        <w:trPr>
          <w:trHeight w:val="240" w:hRule="atLeast"/>
          <w:jc w:val="center"/>
        </w:trPr>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福建省有关文件</w:t>
            </w: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《福建省人民政府关于加快发展现代职业教育的若干意见》（闽政〔2015〕46 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《福建省教育厅关于深化高等学校创新创业教育改革十六条措施的通知》（闽教学〔2015〕23 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《福建省职业院校校企人员互兼互聘管理办法（试行）》（闽教师〔2016〕86 号）</w:t>
            </w:r>
          </w:p>
        </w:tc>
      </w:tr>
      <w:tr>
        <w:tblPrEx>
          <w:tblCellMar>
            <w:top w:w="0" w:type="dxa"/>
            <w:left w:w="108" w:type="dxa"/>
            <w:bottom w:w="0" w:type="dxa"/>
            <w:right w:w="108" w:type="dxa"/>
          </w:tblCellMar>
        </w:tblPrEx>
        <w:trPr>
          <w:trHeight w:val="48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福建省教育厅关于印发《福建省高等职业院校内部质量保证体系诊断与改进工作实施方案（试行）》的通知（闽教职成〔2016〕24号）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《福建省职业教育改革工作方案（征求意见稿）》</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福建省人民政府办公厅《关于深化产教融合十五条措施的通知》（闽政办〔2018〕94 号）</w:t>
            </w:r>
          </w:p>
        </w:tc>
      </w:tr>
      <w:tr>
        <w:tblPrEx>
          <w:tblCellMar>
            <w:top w:w="0" w:type="dxa"/>
            <w:left w:w="108" w:type="dxa"/>
            <w:bottom w:w="0" w:type="dxa"/>
            <w:right w:w="108" w:type="dxa"/>
          </w:tblCellMar>
        </w:tblPrEx>
        <w:trPr>
          <w:trHeight w:val="504"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中共福建省委教育工作领导小组印发《关于贯彻落实〈新时代高等学校思想政治理论课教师队伍建设规定〉的实施方案》的通知（闽委教育〔2020〕3号）</w:t>
            </w:r>
            <w:r>
              <w:rPr>
                <w:rStyle w:val="21"/>
                <w:rFonts w:eastAsia="仿宋"/>
                <w:lang w:bidi="ar"/>
              </w:rPr>
              <w:t xml:space="preserve">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《福建省高水平职业院校和专业建设计划实施方案》（闽教职成〔2020〕29号）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福建省人民政府办公厅印发《关于深化产教融合推动职业教育高质量发展若干措施的通知》（闽政办〔2020〕51号）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福建省教育厅印发《关于进一步深化高职教育“二元制”人才培养模式改革的通知》（闽教职成〔2020〕43号）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福建省人力资源和社会保障厅印发《福建省职称评审管理暂行办法》（闽人社发〔2021〕1号）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福建省发展和改革委员会印发《福建省职业教育产教融合工程建设方案（2021-2025年）》</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《关于促进高校和科研机构科技成果转化及产业化的若干措施》（2021年5月）</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中共福建省委教育工作领导小组关于印发贯彻落实《深化新时代教育评价改革总体方案》工作清单和负面清单的通知</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福建省教育厅《关于做好疫情防控期间高等学校教学组织与管理工作的通知 》（闽教高〔2021〕35号）</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福建省教育厅、省工业和信息化厅联合印发《福建省现代产业学院建设总体方案》（2021年9月）</w:t>
            </w:r>
          </w:p>
        </w:tc>
      </w:tr>
      <w:tr>
        <w:tblPrEx>
          <w:tblCellMar>
            <w:top w:w="0" w:type="dxa"/>
            <w:left w:w="108" w:type="dxa"/>
            <w:bottom w:w="0" w:type="dxa"/>
            <w:right w:w="108" w:type="dxa"/>
          </w:tblCellMar>
        </w:tblPrEx>
        <w:trPr>
          <w:trHeight w:val="240" w:hRule="atLeast"/>
          <w:jc w:val="center"/>
        </w:trPr>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专业设置与人才培养模式</w:t>
            </w: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福州软件职业技术学院人才培养方案管理暂行办法</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福州软件职业技术学院专业建设管理办法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福州软件职业技术学院关于现代学徒制试点工作实施意见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福州软件职业技术学院大学生创新创业教育工作实施意见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福州软件职业技术学院大学生创新创业教育改革实施方案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福州软件职业技术学院重点建设专业遴选及建设工作方案〔修订〕</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福州软件职业技术学院关于进一步加强专业建设的若干意见</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福州软件职业技术学院关于开展“校企合作”人才培养工作的实施意见</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福州软件职业技术学院“网龙数字化工程师培养计划”实施总体方案和试验班实施办法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福州软件职业技术学院关于修订2020级专业培养方案的原则意见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福州软件职业技术学院关于深化产教融合指导性意见 </w:t>
            </w:r>
          </w:p>
        </w:tc>
      </w:tr>
      <w:tr>
        <w:tblPrEx>
          <w:tblCellMar>
            <w:top w:w="0" w:type="dxa"/>
            <w:left w:w="108" w:type="dxa"/>
            <w:bottom w:w="0" w:type="dxa"/>
            <w:right w:w="108" w:type="dxa"/>
          </w:tblCellMar>
        </w:tblPrEx>
        <w:trPr>
          <w:trHeight w:val="240" w:hRule="atLeast"/>
          <w:jc w:val="center"/>
        </w:trPr>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课程体系和课程改革</w:t>
            </w: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福州软件职业技术学院自编教材〔讲义〕编写管理规定</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福州软件职业技术学院在线开放课程建设与管理办法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福州软件职业技术学院关于进一步深化课程考核改革的指导意见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福州软件职业技术学院关于教学方法和教学手段改革的指导意见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福州软件职业技术学院教材建设与管理办法</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福州软件职业技术学院关于制订课程标准的原则及管理办法〔修订〕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福州软件职业技术学院职业素养选修课管理办法〔暂行〕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 AI 课件制作激励管理措施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福州软件职业技术学院关于推进课程思政建设的指导意见 </w:t>
            </w:r>
          </w:p>
        </w:tc>
      </w:tr>
      <w:tr>
        <w:tblPrEx>
          <w:tblCellMar>
            <w:top w:w="0" w:type="dxa"/>
            <w:left w:w="108" w:type="dxa"/>
            <w:bottom w:w="0" w:type="dxa"/>
            <w:right w:w="108" w:type="dxa"/>
          </w:tblCellMar>
        </w:tblPrEx>
        <w:trPr>
          <w:trHeight w:val="240" w:hRule="atLeast"/>
          <w:jc w:val="center"/>
        </w:trPr>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师资队伍建设</w:t>
            </w: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福州软件职业技术学院加强师德师风建设实施方案</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福州软件职业技术学院教师职业道德规范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福州软件职业技术学院学风与学术道德建设行为规范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福州软件职业技术学院教师师德失范行为负面清单及处理办法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福州软件职业技术学院教师行为规范准则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福州软件职业技术学院教师到企业生产实践暂行办法〔修订〕</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福州软件职业技术学院教师进修培训管理暂行办法〔修订〕</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福州软件职业技术学院中青年骨干教师选拔培养暂行办法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福州软件职业技术学院选拔专业带头人管理办法</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福州软件职业技术学院教师工作量管理办法〔修订〕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福州软件职业技术学院教师工作量考核办法〔修订〕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福州软件职业技术学院“双师”教师资格认定实施办法〔修订〕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福州软件职业技术学院“双肩挑”教师管理办法〔试行〕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福州软件职业技术学院关于加强“双师型”师资队伍建设的意见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福州软件职业技术学院现代学徒制“双导师”管理与考核办法</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福州软件职业技术学院信息化教师教学创新团队建设管理办法</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福州软件职业技术学院教师等专业技术职务聘任实施方案（试行）</w:t>
            </w:r>
          </w:p>
        </w:tc>
      </w:tr>
      <w:tr>
        <w:tblPrEx>
          <w:tblCellMar>
            <w:top w:w="0" w:type="dxa"/>
            <w:left w:w="108" w:type="dxa"/>
            <w:bottom w:w="0" w:type="dxa"/>
            <w:right w:w="108" w:type="dxa"/>
          </w:tblCellMar>
        </w:tblPrEx>
        <w:trPr>
          <w:trHeight w:val="240" w:hRule="atLeast"/>
          <w:jc w:val="center"/>
        </w:trPr>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教学条件与实践教学设计</w:t>
            </w: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关于印发《福州软件职业技术学院技能竞赛奖励与管理办法》的通知</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福州软件职业技术学院岗位实习指导教师巡查工作规程</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福州软件职业技术学院实践教学管理规范（修订）</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关于印发《福州软件职业技术学院实训室管理制度》的通知</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关于印发《福州软件职业技术学院多媒体教室使用管理制度》的通知</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关于印发《福州软件职业技术学院教学科研仪器设备管理办法》的通知</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关于印发《福州软件职业技术学院技能大师工作室章程》的通知</w:t>
            </w:r>
          </w:p>
        </w:tc>
      </w:tr>
      <w:tr>
        <w:tblPrEx>
          <w:tblCellMar>
            <w:top w:w="0" w:type="dxa"/>
            <w:left w:w="108" w:type="dxa"/>
            <w:bottom w:w="0" w:type="dxa"/>
            <w:right w:w="108" w:type="dxa"/>
          </w:tblCellMar>
        </w:tblPrEx>
        <w:trPr>
          <w:trHeight w:val="240" w:hRule="atLeast"/>
          <w:jc w:val="center"/>
        </w:trPr>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教学管理与改革</w:t>
            </w: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福州软件职业技术学院关于撰写课程授课计划和教案有关规定</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福州软件职业技术学院教学改革项目管理办法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福州软件职业技术学院教师调、停课、补课管理规定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福州软件职业技术学院关于课程安排的原则意见</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福州软件职业技术学院课程考试〔考核〕环节规范</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福州软件职业技术学院教研室工作管理规定</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福州软件职业技术学院教学档案管理细则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福州软件职业技术学院教师教学工作规程（修订）</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关于运用智慧校园信息平台填写教学材料的通知</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福州软件职业技术学院教学二级管理实施细则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关于印发《福州软件职业技术学院线上教学基本规范和要求》的通知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福州软件职业技术学院教师评学暂行办法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福州软件职业技术学院关于加强教学反馈工作的规定〔试行〕</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福州软件职业技术学院教学检查制度</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福州软件职业技术学院各教学环节质量标准管理办法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福州软件职业技术学院关于进一步加强听评巡课制度的决定〔修订〕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福州软件职业技术学院学生信息员管理制度〔修订〕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福州软件职业技术学院教学事故认定办法〔修订〕</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福州软件职业技术学院关于做好全面复学时期教学质量监控与评价工作线上与线下衔接方案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福州软件职业技术学院在线课程建设评价办法（试行）</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 xml:space="preserve">福州软件职业技术学院关于征集“典型教学案例”的通知 </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福州软件职业技术学院教学质量管理用表索引</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福州软件职业技术学院新冠肺炎疫情防控常态化下内部质量保证体系建设方案</w:t>
            </w:r>
          </w:p>
        </w:tc>
      </w:tr>
      <w:tr>
        <w:tblPrEx>
          <w:tblCellMar>
            <w:top w:w="0" w:type="dxa"/>
            <w:left w:w="108" w:type="dxa"/>
            <w:bottom w:w="0" w:type="dxa"/>
            <w:right w:w="108" w:type="dxa"/>
          </w:tblCellMar>
        </w:tblPrEx>
        <w:trPr>
          <w:trHeight w:val="240" w:hRule="atLeast"/>
          <w:jc w:val="center"/>
        </w:trPr>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人才培养成效与社会服务</w:t>
            </w: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《福州软件职业技术学院教科研项目（课题）管理办法》（试行）</w:t>
            </w:r>
          </w:p>
        </w:tc>
      </w:tr>
      <w:tr>
        <w:tblPrEx>
          <w:tblCellMar>
            <w:top w:w="0" w:type="dxa"/>
            <w:left w:w="108" w:type="dxa"/>
            <w:bottom w:w="0" w:type="dxa"/>
            <w:right w:w="108" w:type="dxa"/>
          </w:tblCellMar>
        </w:tblPrEx>
        <w:trPr>
          <w:trHeight w:val="2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福州软件职业技术学院“二元制”试点项目工作方案</w:t>
            </w:r>
          </w:p>
        </w:tc>
      </w:tr>
      <w:tr>
        <w:tblPrEx>
          <w:tblCellMar>
            <w:top w:w="0" w:type="dxa"/>
            <w:left w:w="108" w:type="dxa"/>
            <w:bottom w:w="0" w:type="dxa"/>
            <w:right w:w="108" w:type="dxa"/>
          </w:tblCellMar>
        </w:tblPrEx>
        <w:trPr>
          <w:trHeight w:val="240" w:hRule="atLeast"/>
          <w:jc w:val="center"/>
        </w:trPr>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专业特色</w:t>
            </w:r>
          </w:p>
        </w:tc>
        <w:tc>
          <w:tcPr>
            <w:tcW w:w="8387"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lang w:bidi="ar"/>
              </w:rPr>
              <w:t>关于印发《福州软件职业技术学院教学成果（含荣誉）奖励办法》（试行）的通</w:t>
            </w:r>
          </w:p>
        </w:tc>
      </w:tr>
    </w:tbl>
    <w:p>
      <w:pPr>
        <w:adjustRightInd w:val="0"/>
        <w:snapToGrid w:val="0"/>
        <w:spacing w:line="308" w:lineRule="auto"/>
        <w:ind w:right="105" w:rightChars="50" w:firstLine="480" w:firstLineChars="200"/>
        <w:rPr>
          <w:rFonts w:ascii="仿宋" w:hAnsi="仿宋" w:eastAsia="仿宋" w:cs="仿宋"/>
          <w:bCs/>
          <w:sz w:val="24"/>
        </w:rPr>
      </w:pPr>
    </w:p>
    <w:p>
      <w:pPr>
        <w:adjustRightInd w:val="0"/>
        <w:snapToGrid w:val="0"/>
        <w:spacing w:line="308" w:lineRule="auto"/>
        <w:ind w:right="105" w:rightChars="50" w:firstLine="482" w:firstLineChars="200"/>
        <w:rPr>
          <w:rFonts w:hint="eastAsia" w:ascii="楷体" w:hAnsi="楷体" w:eastAsia="楷体" w:cs="楷体"/>
          <w:b/>
          <w:sz w:val="24"/>
        </w:rPr>
      </w:pPr>
      <w:r>
        <w:rPr>
          <w:rFonts w:hint="eastAsia" w:ascii="楷体" w:hAnsi="楷体" w:eastAsia="楷体" w:cs="楷体"/>
          <w:b/>
          <w:sz w:val="24"/>
        </w:rPr>
        <w:t>（三）质量改进螺旋设计</w:t>
      </w:r>
    </w:p>
    <w:p>
      <w:pPr>
        <w:adjustRightInd w:val="0"/>
        <w:snapToGrid w:val="0"/>
        <w:spacing w:line="308" w:lineRule="auto"/>
        <w:ind w:right="105" w:rightChars="50" w:firstLine="480" w:firstLineChars="200"/>
        <w:rPr>
          <w:rFonts w:ascii="仿宋" w:hAnsi="仿宋" w:eastAsia="仿宋" w:cs="仿宋"/>
          <w:bCs/>
          <w:sz w:val="24"/>
        </w:rPr>
      </w:pPr>
      <w:r>
        <w:rPr>
          <w:rFonts w:hint="eastAsia" w:ascii="仿宋" w:hAnsi="仿宋" w:eastAsia="仿宋" w:cs="仿宋"/>
          <w:bCs/>
          <w:sz w:val="24"/>
        </w:rPr>
        <w:t>基于“8”字螺旋，结合专业自身特点，设计适于专业持续改进的螺旋，具体如下图所示。</w:t>
      </w:r>
    </w:p>
    <w:p>
      <w:pPr>
        <w:adjustRightInd w:val="0"/>
        <w:snapToGrid w:val="0"/>
        <w:spacing w:line="308" w:lineRule="auto"/>
        <w:ind w:right="105" w:rightChars="50"/>
        <w:jc w:val="center"/>
        <w:rPr>
          <w:rFonts w:ascii="仿宋" w:hAnsi="仿宋" w:eastAsia="仿宋" w:cs="仿宋"/>
          <w:bCs/>
          <w:sz w:val="24"/>
        </w:rPr>
      </w:pPr>
      <w:r>
        <w:rPr>
          <w:rFonts w:hint="eastAsia" w:ascii="仿宋" w:hAnsi="仿宋" w:eastAsia="仿宋" w:cs="仿宋"/>
          <w:sz w:val="28"/>
          <w:szCs w:val="28"/>
        </w:rPr>
        <w:drawing>
          <wp:inline distT="0" distB="0" distL="114300" distR="114300">
            <wp:extent cx="5199380" cy="2400300"/>
            <wp:effectExtent l="0" t="0" r="1270" b="0"/>
            <wp:docPr id="14" name="图片 14" descr="f41296cc-88f4-4816-ac0a-4acdc3ab9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41296cc-88f4-4816-ac0a-4acdc3ab9557"/>
                    <pic:cNvPicPr>
                      <a:picLocks noChangeAspect="1"/>
                    </pic:cNvPicPr>
                  </pic:nvPicPr>
                  <pic:blipFill>
                    <a:blip r:embed="rId5"/>
                    <a:srcRect b="14357"/>
                    <a:stretch>
                      <a:fillRect/>
                    </a:stretch>
                  </pic:blipFill>
                  <pic:spPr>
                    <a:xfrm>
                      <a:off x="0" y="0"/>
                      <a:ext cx="5199380" cy="2400300"/>
                    </a:xfrm>
                    <a:prstGeom prst="rect">
                      <a:avLst/>
                    </a:prstGeom>
                  </pic:spPr>
                </pic:pic>
              </a:graphicData>
            </a:graphic>
          </wp:inline>
        </w:drawing>
      </w:r>
    </w:p>
    <w:p>
      <w:pPr>
        <w:adjustRightInd w:val="0"/>
        <w:snapToGrid w:val="0"/>
        <w:spacing w:line="308" w:lineRule="auto"/>
        <w:ind w:right="105" w:rightChars="50" w:firstLine="480" w:firstLineChars="200"/>
        <w:rPr>
          <w:rFonts w:ascii="仿宋" w:hAnsi="仿宋" w:eastAsia="仿宋" w:cs="仿宋"/>
          <w:bCs/>
          <w:sz w:val="24"/>
        </w:rPr>
      </w:pPr>
    </w:p>
    <w:p>
      <w:pPr>
        <w:adjustRightInd w:val="0"/>
        <w:snapToGrid w:val="0"/>
        <w:spacing w:line="308" w:lineRule="auto"/>
        <w:ind w:right="105" w:rightChars="50" w:firstLine="482" w:firstLineChars="200"/>
        <w:rPr>
          <w:rFonts w:hint="eastAsia" w:ascii="黑体" w:hAnsi="黑体" w:eastAsia="黑体" w:cs="黑体"/>
          <w:b/>
          <w:sz w:val="24"/>
        </w:rPr>
      </w:pPr>
      <w:r>
        <w:rPr>
          <w:rFonts w:hint="eastAsia" w:ascii="黑体" w:hAnsi="黑体" w:eastAsia="黑体" w:cs="黑体"/>
          <w:b/>
          <w:sz w:val="24"/>
        </w:rPr>
        <w:t>四、自我诊改实施运行</w:t>
      </w:r>
    </w:p>
    <w:p>
      <w:pPr>
        <w:adjustRightInd w:val="0"/>
        <w:snapToGrid w:val="0"/>
        <w:spacing w:line="308" w:lineRule="auto"/>
        <w:ind w:right="105" w:rightChars="50" w:firstLine="482" w:firstLineChars="200"/>
        <w:rPr>
          <w:rFonts w:hint="eastAsia" w:ascii="楷体" w:hAnsi="楷体" w:eastAsia="楷体" w:cs="楷体"/>
          <w:b/>
          <w:sz w:val="24"/>
        </w:rPr>
      </w:pPr>
      <w:r>
        <w:rPr>
          <w:rFonts w:hint="eastAsia" w:ascii="楷体" w:hAnsi="楷体" w:eastAsia="楷体" w:cs="楷体"/>
          <w:b/>
          <w:sz w:val="24"/>
        </w:rPr>
        <w:t>（一）质控要素监测预警与责任主体</w:t>
      </w:r>
    </w:p>
    <w:p>
      <w:pPr>
        <w:adjustRightInd w:val="0"/>
        <w:snapToGrid w:val="0"/>
        <w:spacing w:line="308" w:lineRule="auto"/>
        <w:ind w:right="105" w:rightChars="50" w:firstLine="480" w:firstLineChars="200"/>
        <w:rPr>
          <w:rFonts w:ascii="仿宋" w:hAnsi="仿宋" w:eastAsia="仿宋" w:cs="仿宋"/>
          <w:bCs/>
          <w:sz w:val="24"/>
        </w:rPr>
      </w:pPr>
      <w:r>
        <w:rPr>
          <w:rFonts w:hint="eastAsia" w:ascii="仿宋" w:hAnsi="仿宋" w:eastAsia="仿宋" w:cs="仿宋"/>
          <w:bCs/>
          <w:sz w:val="24"/>
        </w:rPr>
        <w:t>为有效评价与考量专业建设目标任务的达成情况，依据专业建设目标任务，设计对专业建设质量影响较大的7个关键质控要素，涉及14个重点质控内容，对照监测预警，对应分工负责，具体如下表所示。</w:t>
      </w:r>
    </w:p>
    <w:p>
      <w:pPr>
        <w:adjustRightInd w:val="0"/>
        <w:snapToGrid w:val="0"/>
        <w:spacing w:before="156" w:beforeLines="50" w:line="308" w:lineRule="auto"/>
        <w:jc w:val="center"/>
        <w:rPr>
          <w:rFonts w:ascii="仿宋" w:hAnsi="仿宋" w:eastAsia="仿宋" w:cs="仿宋"/>
          <w:bCs/>
          <w:kern w:val="0"/>
          <w:sz w:val="24"/>
        </w:rPr>
      </w:pPr>
      <w:r>
        <w:rPr>
          <w:rFonts w:hint="eastAsia" w:ascii="仿宋" w:hAnsi="仿宋" w:eastAsia="仿宋" w:cs="仿宋"/>
          <w:b/>
          <w:kern w:val="0"/>
          <w:sz w:val="24"/>
        </w:rPr>
        <w:t>专业建设质控要素对照监测预警与责任主体表</w:t>
      </w:r>
    </w:p>
    <w:tbl>
      <w:tblPr>
        <w:tblStyle w:val="9"/>
        <w:tblW w:w="10591" w:type="dxa"/>
        <w:jc w:val="center"/>
        <w:tblLayout w:type="autofit"/>
        <w:tblCellMar>
          <w:top w:w="0" w:type="dxa"/>
          <w:left w:w="108" w:type="dxa"/>
          <w:bottom w:w="0" w:type="dxa"/>
          <w:right w:w="108" w:type="dxa"/>
        </w:tblCellMar>
      </w:tblPr>
      <w:tblGrid>
        <w:gridCol w:w="673"/>
        <w:gridCol w:w="785"/>
        <w:gridCol w:w="3582"/>
        <w:gridCol w:w="2716"/>
        <w:gridCol w:w="1299"/>
        <w:gridCol w:w="785"/>
        <w:gridCol w:w="751"/>
      </w:tblGrid>
      <w:tr>
        <w:tblPrEx>
          <w:tblCellMar>
            <w:top w:w="0" w:type="dxa"/>
            <w:left w:w="108" w:type="dxa"/>
            <w:bottom w:w="0" w:type="dxa"/>
            <w:right w:w="108" w:type="dxa"/>
          </w:tblCellMar>
        </w:tblPrEx>
        <w:trPr>
          <w:trHeight w:val="576" w:hRule="atLeast"/>
          <w:jc w:val="center"/>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b/>
                <w:bCs/>
                <w:color w:val="000000"/>
                <w:sz w:val="22"/>
                <w:szCs w:val="22"/>
              </w:rPr>
            </w:pPr>
            <w:r>
              <w:rPr>
                <w:rFonts w:hint="eastAsia" w:ascii="仿宋" w:hAnsi="仿宋" w:eastAsia="仿宋" w:cs="仿宋"/>
                <w:b/>
                <w:bCs/>
                <w:color w:val="000000"/>
                <w:kern w:val="0"/>
                <w:sz w:val="22"/>
                <w:szCs w:val="22"/>
                <w:lang w:bidi="ar"/>
              </w:rPr>
              <w:t>关键质控要素</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b/>
                <w:bCs/>
                <w:color w:val="000000"/>
                <w:sz w:val="22"/>
                <w:szCs w:val="22"/>
              </w:rPr>
            </w:pPr>
            <w:r>
              <w:rPr>
                <w:rFonts w:hint="eastAsia" w:ascii="仿宋" w:hAnsi="仿宋" w:eastAsia="仿宋" w:cs="仿宋"/>
                <w:b/>
                <w:bCs/>
                <w:color w:val="000000"/>
                <w:kern w:val="0"/>
                <w:sz w:val="22"/>
                <w:szCs w:val="22"/>
                <w:lang w:bidi="ar"/>
              </w:rPr>
              <w:t>重点质控内容</w:t>
            </w:r>
          </w:p>
        </w:tc>
        <w:tc>
          <w:tcPr>
            <w:tcW w:w="3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b/>
                <w:bCs/>
                <w:color w:val="000000"/>
                <w:kern w:val="0"/>
                <w:sz w:val="22"/>
                <w:szCs w:val="22"/>
                <w:lang w:bidi="ar"/>
              </w:rPr>
            </w:pPr>
            <w:r>
              <w:rPr>
                <w:rFonts w:hint="eastAsia" w:ascii="仿宋" w:hAnsi="仿宋" w:eastAsia="仿宋" w:cs="仿宋"/>
                <w:b/>
                <w:bCs/>
                <w:color w:val="000000"/>
                <w:kern w:val="0"/>
                <w:sz w:val="22"/>
                <w:szCs w:val="22"/>
                <w:lang w:bidi="ar"/>
              </w:rPr>
              <w:t>质控</w:t>
            </w:r>
          </w:p>
          <w:p>
            <w:pPr>
              <w:widowControl/>
              <w:spacing w:line="308" w:lineRule="auto"/>
              <w:jc w:val="center"/>
              <w:textAlignment w:val="center"/>
              <w:rPr>
                <w:rFonts w:ascii="仿宋" w:hAnsi="仿宋" w:eastAsia="仿宋" w:cs="仿宋"/>
                <w:b/>
                <w:bCs/>
                <w:color w:val="000000"/>
                <w:kern w:val="0"/>
                <w:sz w:val="22"/>
                <w:szCs w:val="22"/>
                <w:lang w:bidi="ar"/>
              </w:rPr>
            </w:pPr>
            <w:r>
              <w:rPr>
                <w:rFonts w:hint="eastAsia" w:ascii="仿宋" w:hAnsi="仿宋" w:eastAsia="仿宋" w:cs="仿宋"/>
                <w:b/>
                <w:bCs/>
                <w:color w:val="000000"/>
                <w:kern w:val="0"/>
                <w:sz w:val="22"/>
                <w:szCs w:val="22"/>
                <w:lang w:bidi="ar"/>
              </w:rPr>
              <w:t>内涵</w:t>
            </w:r>
          </w:p>
          <w:p>
            <w:pPr>
              <w:widowControl/>
              <w:spacing w:line="308" w:lineRule="auto"/>
              <w:jc w:val="center"/>
              <w:textAlignment w:val="center"/>
              <w:rPr>
                <w:rFonts w:ascii="仿宋" w:hAnsi="仿宋" w:eastAsia="仿宋" w:cs="仿宋"/>
                <w:b/>
                <w:bCs/>
                <w:color w:val="000000"/>
                <w:sz w:val="22"/>
                <w:szCs w:val="22"/>
              </w:rPr>
            </w:pPr>
            <w:r>
              <w:rPr>
                <w:rFonts w:hint="eastAsia" w:ascii="仿宋" w:hAnsi="仿宋" w:eastAsia="仿宋" w:cs="仿宋"/>
                <w:b/>
                <w:bCs/>
                <w:color w:val="000000"/>
                <w:kern w:val="0"/>
                <w:sz w:val="22"/>
                <w:szCs w:val="22"/>
                <w:lang w:bidi="ar"/>
              </w:rPr>
              <w:t>说明</w:t>
            </w:r>
          </w:p>
        </w:tc>
        <w:tc>
          <w:tcPr>
            <w:tcW w:w="2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b/>
                <w:bCs/>
                <w:color w:val="000000"/>
                <w:kern w:val="0"/>
                <w:sz w:val="22"/>
                <w:szCs w:val="22"/>
                <w:lang w:bidi="ar"/>
              </w:rPr>
            </w:pPr>
            <w:r>
              <w:rPr>
                <w:rFonts w:hint="eastAsia" w:ascii="仿宋" w:hAnsi="仿宋" w:eastAsia="仿宋" w:cs="仿宋"/>
                <w:b/>
                <w:bCs/>
                <w:color w:val="000000"/>
                <w:kern w:val="0"/>
                <w:sz w:val="22"/>
                <w:szCs w:val="22"/>
                <w:lang w:bidi="ar"/>
              </w:rPr>
              <w:t>质控</w:t>
            </w:r>
          </w:p>
          <w:p>
            <w:pPr>
              <w:widowControl/>
              <w:spacing w:line="308" w:lineRule="auto"/>
              <w:jc w:val="center"/>
              <w:textAlignment w:val="center"/>
              <w:rPr>
                <w:rFonts w:ascii="仿宋" w:hAnsi="仿宋" w:eastAsia="仿宋" w:cs="仿宋"/>
                <w:b/>
                <w:bCs/>
                <w:color w:val="000000"/>
                <w:kern w:val="0"/>
                <w:sz w:val="22"/>
                <w:szCs w:val="22"/>
                <w:lang w:bidi="ar"/>
              </w:rPr>
            </w:pPr>
            <w:r>
              <w:rPr>
                <w:rFonts w:hint="eastAsia" w:ascii="仿宋" w:hAnsi="仿宋" w:eastAsia="仿宋" w:cs="仿宋"/>
                <w:b/>
                <w:bCs/>
                <w:color w:val="000000"/>
                <w:kern w:val="0"/>
                <w:sz w:val="22"/>
                <w:szCs w:val="22"/>
                <w:lang w:bidi="ar"/>
              </w:rPr>
              <w:t>佐证</w:t>
            </w:r>
          </w:p>
          <w:p>
            <w:pPr>
              <w:widowControl/>
              <w:spacing w:line="308" w:lineRule="auto"/>
              <w:jc w:val="center"/>
              <w:textAlignment w:val="center"/>
              <w:rPr>
                <w:rFonts w:ascii="仿宋" w:hAnsi="仿宋" w:eastAsia="仿宋" w:cs="仿宋"/>
                <w:b/>
                <w:bCs/>
                <w:color w:val="000000"/>
                <w:sz w:val="22"/>
                <w:szCs w:val="22"/>
              </w:rPr>
            </w:pPr>
            <w:r>
              <w:rPr>
                <w:rFonts w:hint="eastAsia" w:ascii="仿宋" w:hAnsi="仿宋" w:eastAsia="仿宋" w:cs="仿宋"/>
                <w:b/>
                <w:bCs/>
                <w:color w:val="000000"/>
                <w:kern w:val="0"/>
                <w:sz w:val="22"/>
                <w:szCs w:val="22"/>
                <w:lang w:bidi="ar"/>
              </w:rPr>
              <w:t>材料</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b/>
                <w:bCs/>
                <w:color w:val="000000"/>
                <w:kern w:val="0"/>
                <w:sz w:val="22"/>
                <w:szCs w:val="22"/>
                <w:lang w:bidi="ar"/>
              </w:rPr>
            </w:pPr>
            <w:r>
              <w:rPr>
                <w:rFonts w:hint="eastAsia" w:ascii="仿宋" w:hAnsi="仿宋" w:eastAsia="仿宋" w:cs="仿宋"/>
                <w:b/>
                <w:bCs/>
                <w:color w:val="000000"/>
                <w:kern w:val="0"/>
                <w:sz w:val="22"/>
                <w:szCs w:val="22"/>
                <w:lang w:bidi="ar"/>
              </w:rPr>
              <w:t>对照</w:t>
            </w:r>
            <w:r>
              <w:rPr>
                <w:rFonts w:hint="eastAsia" w:ascii="仿宋" w:hAnsi="仿宋" w:eastAsia="仿宋" w:cs="仿宋"/>
                <w:b/>
                <w:bCs/>
                <w:color w:val="000000"/>
                <w:kern w:val="0"/>
                <w:sz w:val="22"/>
                <w:szCs w:val="22"/>
                <w:lang w:bidi="ar"/>
              </w:rPr>
              <w:br w:type="textWrapping"/>
            </w:r>
            <w:r>
              <w:rPr>
                <w:rFonts w:hint="eastAsia" w:ascii="仿宋" w:hAnsi="仿宋" w:eastAsia="仿宋" w:cs="仿宋"/>
                <w:b/>
                <w:bCs/>
                <w:color w:val="000000"/>
                <w:kern w:val="0"/>
                <w:sz w:val="22"/>
                <w:szCs w:val="22"/>
                <w:lang w:bidi="ar"/>
              </w:rPr>
              <w:t>监测</w:t>
            </w:r>
          </w:p>
          <w:p>
            <w:pPr>
              <w:widowControl/>
              <w:spacing w:line="308" w:lineRule="auto"/>
              <w:jc w:val="center"/>
              <w:textAlignment w:val="center"/>
              <w:rPr>
                <w:rFonts w:ascii="仿宋" w:hAnsi="仿宋" w:eastAsia="仿宋" w:cs="仿宋"/>
                <w:b/>
                <w:bCs/>
                <w:color w:val="000000"/>
                <w:sz w:val="22"/>
                <w:szCs w:val="22"/>
              </w:rPr>
            </w:pPr>
            <w:r>
              <w:rPr>
                <w:rFonts w:hint="eastAsia" w:ascii="仿宋" w:hAnsi="仿宋" w:eastAsia="仿宋" w:cs="仿宋"/>
                <w:b/>
                <w:bCs/>
                <w:color w:val="000000"/>
                <w:kern w:val="0"/>
                <w:sz w:val="22"/>
                <w:szCs w:val="22"/>
                <w:lang w:bidi="ar"/>
              </w:rPr>
              <w:t>预警</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b/>
                <w:bCs/>
                <w:color w:val="000000"/>
                <w:sz w:val="22"/>
                <w:szCs w:val="22"/>
              </w:rPr>
            </w:pPr>
            <w:r>
              <w:rPr>
                <w:rFonts w:hint="eastAsia" w:ascii="仿宋" w:hAnsi="仿宋" w:eastAsia="仿宋" w:cs="仿宋"/>
                <w:b/>
                <w:bCs/>
                <w:color w:val="000000"/>
                <w:sz w:val="22"/>
                <w:szCs w:val="22"/>
              </w:rPr>
              <w:t>对应</w:t>
            </w:r>
          </w:p>
          <w:p>
            <w:pPr>
              <w:widowControl/>
              <w:spacing w:line="308" w:lineRule="auto"/>
              <w:jc w:val="center"/>
              <w:textAlignment w:val="center"/>
              <w:rPr>
                <w:rFonts w:ascii="仿宋" w:hAnsi="仿宋" w:eastAsia="仿宋" w:cs="仿宋"/>
                <w:b/>
                <w:bCs/>
                <w:color w:val="000000"/>
                <w:sz w:val="22"/>
                <w:szCs w:val="22"/>
              </w:rPr>
            </w:pPr>
            <w:r>
              <w:rPr>
                <w:rFonts w:hint="eastAsia" w:ascii="仿宋" w:hAnsi="仿宋" w:eastAsia="仿宋" w:cs="仿宋"/>
                <w:b/>
                <w:bCs/>
                <w:color w:val="000000"/>
                <w:sz w:val="22"/>
                <w:szCs w:val="22"/>
              </w:rPr>
              <w:t>负责</w:t>
            </w:r>
          </w:p>
          <w:p>
            <w:pPr>
              <w:widowControl/>
              <w:spacing w:line="308" w:lineRule="auto"/>
              <w:jc w:val="center"/>
              <w:textAlignment w:val="center"/>
              <w:rPr>
                <w:rFonts w:ascii="仿宋" w:hAnsi="仿宋" w:eastAsia="仿宋" w:cs="仿宋"/>
                <w:b/>
                <w:bCs/>
                <w:color w:val="000000"/>
                <w:kern w:val="0"/>
                <w:sz w:val="22"/>
                <w:szCs w:val="22"/>
                <w:lang w:bidi="ar"/>
              </w:rPr>
            </w:pPr>
            <w:r>
              <w:rPr>
                <w:rFonts w:hint="eastAsia" w:ascii="仿宋" w:hAnsi="仿宋" w:eastAsia="仿宋" w:cs="仿宋"/>
                <w:b/>
                <w:bCs/>
                <w:color w:val="000000"/>
                <w:sz w:val="22"/>
                <w:szCs w:val="22"/>
              </w:rPr>
              <w:t>人</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b/>
                <w:bCs/>
                <w:color w:val="000000"/>
                <w:sz w:val="22"/>
                <w:szCs w:val="22"/>
              </w:rPr>
            </w:pPr>
            <w:r>
              <w:rPr>
                <w:rFonts w:hint="eastAsia" w:ascii="仿宋" w:hAnsi="仿宋" w:eastAsia="仿宋" w:cs="仿宋"/>
                <w:b/>
                <w:bCs/>
                <w:color w:val="000000"/>
                <w:sz w:val="22"/>
                <w:szCs w:val="22"/>
              </w:rPr>
              <w:t>负责</w:t>
            </w:r>
          </w:p>
          <w:p>
            <w:pPr>
              <w:widowControl/>
              <w:spacing w:line="308" w:lineRule="auto"/>
              <w:jc w:val="center"/>
              <w:textAlignment w:val="center"/>
              <w:rPr>
                <w:rFonts w:ascii="仿宋" w:hAnsi="仿宋" w:eastAsia="仿宋" w:cs="仿宋"/>
                <w:b/>
                <w:bCs/>
                <w:color w:val="000000"/>
                <w:sz w:val="22"/>
                <w:szCs w:val="22"/>
              </w:rPr>
            </w:pPr>
            <w:r>
              <w:rPr>
                <w:rFonts w:hint="eastAsia" w:ascii="仿宋" w:hAnsi="仿宋" w:eastAsia="仿宋" w:cs="仿宋"/>
                <w:b/>
                <w:bCs/>
                <w:color w:val="000000"/>
                <w:sz w:val="22"/>
                <w:szCs w:val="22"/>
              </w:rPr>
              <w:t>人职</w:t>
            </w:r>
          </w:p>
          <w:p>
            <w:pPr>
              <w:widowControl/>
              <w:spacing w:line="308" w:lineRule="auto"/>
              <w:jc w:val="center"/>
              <w:textAlignment w:val="center"/>
              <w:rPr>
                <w:rFonts w:ascii="仿宋" w:hAnsi="仿宋" w:eastAsia="仿宋" w:cs="仿宋"/>
                <w:b/>
                <w:bCs/>
                <w:color w:val="000000"/>
                <w:sz w:val="22"/>
                <w:szCs w:val="22"/>
              </w:rPr>
            </w:pPr>
            <w:r>
              <w:rPr>
                <w:rFonts w:hint="eastAsia" w:ascii="仿宋" w:hAnsi="仿宋" w:eastAsia="仿宋" w:cs="仿宋"/>
                <w:b/>
                <w:bCs/>
                <w:color w:val="000000"/>
                <w:sz w:val="22"/>
                <w:szCs w:val="22"/>
              </w:rPr>
              <w:t>务</w:t>
            </w:r>
          </w:p>
        </w:tc>
      </w:tr>
      <w:tr>
        <w:tblPrEx>
          <w:tblCellMar>
            <w:top w:w="0" w:type="dxa"/>
            <w:left w:w="108" w:type="dxa"/>
            <w:bottom w:w="0" w:type="dxa"/>
            <w:right w:w="108" w:type="dxa"/>
          </w:tblCellMar>
        </w:tblPrEx>
        <w:trPr>
          <w:trHeight w:val="1728" w:hRule="atLeast"/>
          <w:jc w:val="center"/>
        </w:trPr>
        <w:tc>
          <w:tcPr>
            <w:tcW w:w="6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专业设置与人才培养模式</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专业</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调研</w:t>
            </w:r>
          </w:p>
        </w:tc>
        <w:tc>
          <w:tcPr>
            <w:tcW w:w="3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1.能够面向区域和地方经济发展，面向生产、服务与管理第一线设置专业，能够将当地产业结构和社会人才需求的变化趋势作为确定专业体系主体框架的依据分析到位。</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2.专业口径宽窄适当。</w:t>
            </w:r>
          </w:p>
        </w:tc>
        <w:tc>
          <w:tcPr>
            <w:tcW w:w="2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专业社会需求调查与分析报告（本地区相关行业、企业人才需求现状分析及未来需求预测、专业设置和培养目标确定的调研情况）（含相关的佐证材料—文字、问卷、照片等等）</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r>
      <w:tr>
        <w:tblPrEx>
          <w:tblCellMar>
            <w:top w:w="0" w:type="dxa"/>
            <w:left w:w="108" w:type="dxa"/>
            <w:bottom w:w="0" w:type="dxa"/>
            <w:right w:w="108" w:type="dxa"/>
          </w:tblCellMar>
        </w:tblPrEx>
        <w:trPr>
          <w:trHeight w:val="1152" w:hRule="atLeast"/>
          <w:jc w:val="center"/>
        </w:trPr>
        <w:tc>
          <w:tcPr>
            <w:tcW w:w="6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center"/>
              <w:rPr>
                <w:rFonts w:ascii="仿宋" w:hAnsi="仿宋" w:eastAsia="仿宋" w:cs="仿宋"/>
                <w:color w:val="000000"/>
                <w:sz w:val="22"/>
                <w:szCs w:val="22"/>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专业</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定位</w:t>
            </w:r>
          </w:p>
        </w:tc>
        <w:tc>
          <w:tcPr>
            <w:tcW w:w="3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能够以学生职业生涯发展为目标，能够清楚表明该专业在全省中的专业布点情况和所属地位，准确清晰专业定位，符合市场需求。</w:t>
            </w:r>
          </w:p>
        </w:tc>
        <w:tc>
          <w:tcPr>
            <w:tcW w:w="2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r>
      <w:tr>
        <w:tblPrEx>
          <w:tblCellMar>
            <w:top w:w="0" w:type="dxa"/>
            <w:left w:w="108" w:type="dxa"/>
            <w:bottom w:w="0" w:type="dxa"/>
            <w:right w:w="108" w:type="dxa"/>
          </w:tblCellMar>
        </w:tblPrEx>
        <w:trPr>
          <w:trHeight w:val="90" w:hRule="atLeast"/>
          <w:jc w:val="center"/>
        </w:trPr>
        <w:tc>
          <w:tcPr>
            <w:tcW w:w="6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center"/>
              <w:rPr>
                <w:rFonts w:ascii="仿宋" w:hAnsi="仿宋" w:eastAsia="仿宋" w:cs="仿宋"/>
                <w:color w:val="000000"/>
                <w:sz w:val="22"/>
                <w:szCs w:val="22"/>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专业建设规划</w:t>
            </w:r>
          </w:p>
        </w:tc>
        <w:tc>
          <w:tcPr>
            <w:tcW w:w="3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专业建设有规划，目标定位准确，建设思路清晰，实施方案具体，保障措施得力，行业、企业参与专业建设。</w:t>
            </w:r>
          </w:p>
        </w:tc>
        <w:tc>
          <w:tcPr>
            <w:tcW w:w="2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专业建设规划（或方案、计划等）专业建设总结及佐证材料（分学年、校企合作材料等会议、文字、图片等材料）</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r>
      <w:tr>
        <w:tblPrEx>
          <w:tblCellMar>
            <w:top w:w="0" w:type="dxa"/>
            <w:left w:w="108" w:type="dxa"/>
            <w:bottom w:w="0" w:type="dxa"/>
            <w:right w:w="108" w:type="dxa"/>
          </w:tblCellMar>
        </w:tblPrEx>
        <w:trPr>
          <w:trHeight w:val="90" w:hRule="atLeast"/>
          <w:jc w:val="center"/>
        </w:trPr>
        <w:tc>
          <w:tcPr>
            <w:tcW w:w="6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center"/>
              <w:rPr>
                <w:rFonts w:ascii="仿宋" w:hAnsi="仿宋" w:eastAsia="仿宋" w:cs="仿宋"/>
                <w:color w:val="000000"/>
                <w:sz w:val="22"/>
                <w:szCs w:val="22"/>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岗位及需求调研</w:t>
            </w:r>
          </w:p>
        </w:tc>
        <w:tc>
          <w:tcPr>
            <w:tcW w:w="3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能够对专业从业人员基本情况、对应的一线职业岗位分析、对应的职业资格证书分析、专业人才招聘渠道分析、该专业在职人员进修需求分析等内容用准确、可量化的语言进行描述，并对完成任务应掌握的职业能力作出较为详细的描述。</w:t>
            </w:r>
          </w:p>
        </w:tc>
        <w:tc>
          <w:tcPr>
            <w:tcW w:w="2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1.就业岗位分析</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2.典型工作任务与工作能力分析报告</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r>
      <w:tr>
        <w:tblPrEx>
          <w:tblCellMar>
            <w:top w:w="0" w:type="dxa"/>
            <w:left w:w="108" w:type="dxa"/>
            <w:bottom w:w="0" w:type="dxa"/>
            <w:right w:w="108" w:type="dxa"/>
          </w:tblCellMar>
        </w:tblPrEx>
        <w:trPr>
          <w:trHeight w:val="1613" w:hRule="atLeast"/>
          <w:jc w:val="center"/>
        </w:trPr>
        <w:tc>
          <w:tcPr>
            <w:tcW w:w="6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center"/>
              <w:rPr>
                <w:rFonts w:ascii="仿宋" w:hAnsi="仿宋" w:eastAsia="仿宋" w:cs="仿宋"/>
                <w:color w:val="000000"/>
                <w:sz w:val="22"/>
                <w:szCs w:val="22"/>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培养目标</w:t>
            </w:r>
          </w:p>
        </w:tc>
        <w:tc>
          <w:tcPr>
            <w:tcW w:w="3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sz w:val="22"/>
                <w:szCs w:val="22"/>
              </w:rPr>
              <w:t>能依据国家有关规定、公共基础课程标准和专业教学标准，结合学校办学层次和办学定位，科学合理确定专业培养目标，明确学生的知识、能力和素质要求，保证培养规格。</w:t>
            </w:r>
          </w:p>
        </w:tc>
        <w:tc>
          <w:tcPr>
            <w:tcW w:w="2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1.人才培养方案</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2.专业人才培养方案制订的过程材料（分学年、校企合作材料等会议、文字、图片等材料）</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r>
      <w:tr>
        <w:tblPrEx>
          <w:tblCellMar>
            <w:top w:w="0" w:type="dxa"/>
            <w:left w:w="108" w:type="dxa"/>
            <w:bottom w:w="0" w:type="dxa"/>
            <w:right w:w="108" w:type="dxa"/>
          </w:tblCellMar>
        </w:tblPrEx>
        <w:trPr>
          <w:trHeight w:val="491" w:hRule="atLeast"/>
          <w:jc w:val="center"/>
        </w:trPr>
        <w:tc>
          <w:tcPr>
            <w:tcW w:w="6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center"/>
              <w:rPr>
                <w:rFonts w:ascii="仿宋" w:hAnsi="仿宋" w:eastAsia="仿宋" w:cs="仿宋"/>
                <w:color w:val="000000"/>
                <w:sz w:val="22"/>
                <w:szCs w:val="22"/>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人才培养模式</w:t>
            </w:r>
          </w:p>
        </w:tc>
        <w:tc>
          <w:tcPr>
            <w:tcW w:w="3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1.坚持学用相长、知行合一，着力培养学生的创新精神和实践能力，增强学生的职业适应能力和可持续发展能力，开展产教融合、校企深度合作、订单培养、行动导向、知行合一的人才培养模式的改革，同时培养模式体现教学过程的实践性、开放性、职业性。</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2.坚持把立德树人作为根本任务，不断加强思想政治工作，持续深化“三全育人”综合改革，把立德树人融入思想道德教育、文化知识教育、技术技能培养、社会实践教育各环节，推动思想政治工作体系贯穿教学体系、教材体系、管理体系，切实提升思想政治工作质量。</w:t>
            </w:r>
          </w:p>
        </w:tc>
        <w:tc>
          <w:tcPr>
            <w:tcW w:w="2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1.专业人才培养模式设计及实施措施</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2.产教融合、校企深度合作、订单培养、行动导向、知行合一的人才培养模式的改革实施过程材料</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r>
      <w:tr>
        <w:tblPrEx>
          <w:tblCellMar>
            <w:top w:w="0" w:type="dxa"/>
            <w:left w:w="108" w:type="dxa"/>
            <w:bottom w:w="0" w:type="dxa"/>
            <w:right w:w="108" w:type="dxa"/>
          </w:tblCellMar>
        </w:tblPrEx>
        <w:trPr>
          <w:trHeight w:val="90" w:hRule="atLeast"/>
          <w:jc w:val="center"/>
        </w:trPr>
        <w:tc>
          <w:tcPr>
            <w:tcW w:w="6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课程体系和课程改革</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课程体系设置</w:t>
            </w:r>
          </w:p>
        </w:tc>
        <w:tc>
          <w:tcPr>
            <w:tcW w:w="3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1.严格按照国家有关规定开齐开足公共基础课程。全面推动习近平新时代中国特色社会主义思想进课程，结合实习实训强化劳动教育，推动中华优秀传统文化融入教育教学，加强革命文化和社会主义先进文化教育。深化体育、美育教学改革，促进学生身心健康，提高学生审美和人文素养。开设关于国家安全教育、节能减排、绿色环保等人文素养、科学素养方面的选修课程、拓展课程或专题讲座（活动），并将有关知识融入到专业教学和社会实践中。组织开展劳动实践、创新创业实践、志愿服务及其他社会公益活动。</w:t>
            </w:r>
          </w:p>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2.科学设置专业（技能）课程。专业（技能）课程设置与培养目标相适应，课程内容紧密联系生产劳动实际和社会实践，突出应用性和实践性，注重学生职业能力和职业精神的培养。按照相应职业岗位（群）的能力要求，确定6—8门专业核心课程和若干门专业课程。</w:t>
            </w:r>
          </w:p>
        </w:tc>
        <w:tc>
          <w:tcPr>
            <w:tcW w:w="2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1.课程体系构建设计思路运用高职教育教学理论诠释课程体系架构图</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2.课程建设规划和总结</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3.专业课程体系改革情况及建设成果综述</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r>
      <w:tr>
        <w:tblPrEx>
          <w:tblCellMar>
            <w:top w:w="0" w:type="dxa"/>
            <w:left w:w="108" w:type="dxa"/>
            <w:bottom w:w="0" w:type="dxa"/>
            <w:right w:w="108" w:type="dxa"/>
          </w:tblCellMar>
        </w:tblPrEx>
        <w:trPr>
          <w:trHeight w:val="90" w:hRule="atLeast"/>
          <w:jc w:val="center"/>
        </w:trPr>
        <w:tc>
          <w:tcPr>
            <w:tcW w:w="6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center"/>
              <w:rPr>
                <w:rFonts w:ascii="仿宋" w:hAnsi="仿宋" w:eastAsia="仿宋" w:cs="仿宋"/>
                <w:color w:val="000000"/>
                <w:sz w:val="22"/>
                <w:szCs w:val="22"/>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课程改革与建设</w:t>
            </w:r>
          </w:p>
        </w:tc>
        <w:tc>
          <w:tcPr>
            <w:tcW w:w="3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kern w:val="0"/>
                <w:sz w:val="22"/>
                <w:szCs w:val="22"/>
                <w:lang w:bidi="ar"/>
              </w:rPr>
              <w:t>1.校企合作制订突出职业能力的课程标准，引入职业资格证书或技术等级证书，实施“1+X证书”制度教育。</w:t>
            </w:r>
            <w:r>
              <w:rPr>
                <w:rFonts w:hint="eastAsia" w:ascii="仿宋" w:hAnsi="仿宋" w:eastAsia="仿宋" w:cs="仿宋"/>
                <w:kern w:val="0"/>
                <w:sz w:val="22"/>
                <w:szCs w:val="22"/>
                <w:lang w:bidi="ar"/>
              </w:rPr>
              <w:br w:type="textWrapping"/>
            </w:r>
            <w:r>
              <w:rPr>
                <w:rFonts w:hint="eastAsia" w:ascii="仿宋" w:hAnsi="仿宋" w:eastAsia="仿宋" w:cs="仿宋"/>
                <w:kern w:val="0"/>
                <w:sz w:val="22"/>
                <w:szCs w:val="22"/>
                <w:lang w:bidi="ar"/>
              </w:rPr>
              <w:t>2.注重实践性教学环节，加强实践性教学</w:t>
            </w:r>
            <w:r>
              <w:rPr>
                <w:rFonts w:hint="eastAsia" w:ascii="仿宋" w:hAnsi="仿宋" w:eastAsia="仿宋" w:cs="仿宋"/>
                <w:kern w:val="0"/>
                <w:sz w:val="22"/>
                <w:szCs w:val="22"/>
                <w:lang w:bidi="ar"/>
              </w:rPr>
              <w:br w:type="textWrapping"/>
            </w:r>
            <w:r>
              <w:rPr>
                <w:rFonts w:hint="eastAsia" w:ascii="仿宋" w:hAnsi="仿宋" w:eastAsia="仿宋" w:cs="仿宋"/>
                <w:kern w:val="0"/>
                <w:sz w:val="22"/>
                <w:szCs w:val="22"/>
                <w:lang w:bidi="ar"/>
              </w:rPr>
              <w:t>3.重视优质核心课程建设和教材建设，注重与行业、企业合作开发课程和教材，选用优秀教材。</w:t>
            </w:r>
            <w:r>
              <w:rPr>
                <w:rFonts w:hint="eastAsia" w:ascii="仿宋" w:hAnsi="仿宋" w:eastAsia="仿宋" w:cs="仿宋"/>
                <w:kern w:val="0"/>
                <w:sz w:val="22"/>
                <w:szCs w:val="22"/>
                <w:lang w:bidi="ar"/>
              </w:rPr>
              <w:br w:type="textWrapping"/>
            </w:r>
            <w:r>
              <w:rPr>
                <w:rFonts w:hint="eastAsia" w:ascii="仿宋" w:hAnsi="仿宋" w:eastAsia="仿宋" w:cs="仿宋"/>
                <w:kern w:val="0"/>
                <w:sz w:val="22"/>
                <w:szCs w:val="22"/>
                <w:lang w:bidi="ar"/>
              </w:rPr>
              <w:t>4.强化课程思政，推动专业课教学与思想政治理论课教学紧密结合、同向同行。</w:t>
            </w:r>
            <w:r>
              <w:rPr>
                <w:rFonts w:hint="eastAsia" w:ascii="仿宋" w:hAnsi="仿宋" w:eastAsia="仿宋" w:cs="仿宋"/>
                <w:kern w:val="0"/>
                <w:sz w:val="22"/>
                <w:szCs w:val="22"/>
                <w:lang w:bidi="ar"/>
              </w:rPr>
              <w:br w:type="textWrapping"/>
            </w:r>
            <w:r>
              <w:rPr>
                <w:rFonts w:hint="eastAsia" w:ascii="仿宋" w:hAnsi="仿宋" w:eastAsia="仿宋" w:cs="仿宋"/>
                <w:kern w:val="0"/>
                <w:sz w:val="22"/>
                <w:szCs w:val="22"/>
                <w:lang w:bidi="ar"/>
              </w:rPr>
              <w:t>5.组织开发专业课程标准和教案，明确课程目标，优化课程内容，规范教学过程，及时将新技术、新工艺、新规范纳入课程标准和教学内容。</w:t>
            </w:r>
            <w:r>
              <w:rPr>
                <w:rFonts w:hint="eastAsia" w:ascii="仿宋" w:hAnsi="仿宋" w:eastAsia="仿宋" w:cs="仿宋"/>
                <w:kern w:val="0"/>
                <w:sz w:val="22"/>
                <w:szCs w:val="22"/>
                <w:lang w:bidi="ar"/>
              </w:rPr>
              <w:br w:type="textWrapping"/>
            </w:r>
            <w:r>
              <w:rPr>
                <w:rFonts w:hint="eastAsia" w:ascii="仿宋" w:hAnsi="仿宋" w:eastAsia="仿宋" w:cs="仿宋"/>
                <w:kern w:val="0"/>
                <w:sz w:val="22"/>
                <w:szCs w:val="22"/>
                <w:lang w:bidi="ar"/>
              </w:rPr>
              <w:t>6.深化教师、教材、教法改革。</w:t>
            </w:r>
            <w:r>
              <w:rPr>
                <w:rFonts w:hint="eastAsia" w:ascii="仿宋" w:hAnsi="仿宋" w:eastAsia="仿宋" w:cs="仿宋"/>
                <w:kern w:val="0"/>
                <w:sz w:val="22"/>
                <w:szCs w:val="22"/>
                <w:lang w:bidi="ar"/>
              </w:rPr>
              <w:br w:type="textWrapping"/>
            </w:r>
            <w:r>
              <w:rPr>
                <w:rFonts w:hint="eastAsia" w:ascii="仿宋" w:hAnsi="仿宋" w:eastAsia="仿宋" w:cs="仿宋"/>
                <w:kern w:val="0"/>
                <w:sz w:val="22"/>
                <w:szCs w:val="22"/>
                <w:lang w:bidi="ar"/>
              </w:rPr>
              <w:t>7.改进学习过程管理与评价。</w:t>
            </w:r>
          </w:p>
        </w:tc>
        <w:tc>
          <w:tcPr>
            <w:tcW w:w="2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1.课程标准、核心课程教案、课程思政建设材料</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2.专业实验、实训大纲和校企合作的佐证材料</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3．学生必考或选考的职业资格证书或技术等级证书及其对应或相关的课程一览表</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4．本学年应届毕业生职业资格证书获取一览表和佐证材料</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5.本学年学生技能竞赛获奖情况一览表和佐证材料</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6.专业实验、实训、实习指导书</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7.实践性教学管理制度</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8.校企合作开发课程</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9.课程资源开发</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10.教材开发开设的实践性教学项目及证明材料（含校内、校外）</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r>
      <w:tr>
        <w:tblPrEx>
          <w:tblCellMar>
            <w:top w:w="0" w:type="dxa"/>
            <w:left w:w="108" w:type="dxa"/>
            <w:bottom w:w="0" w:type="dxa"/>
            <w:right w:w="108" w:type="dxa"/>
          </w:tblCellMar>
        </w:tblPrEx>
        <w:trPr>
          <w:trHeight w:val="90" w:hRule="atLeast"/>
          <w:jc w:val="center"/>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师资队伍建设</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师资队伍建设</w:t>
            </w:r>
          </w:p>
        </w:tc>
        <w:tc>
          <w:tcPr>
            <w:tcW w:w="3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1.专业教学团队知识、职称、年龄、学历等结构合理。</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2.专业带头人在行业企业有一定的影响力。</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3.专任教师具有行业、企业经历比例较大，“双师”素质比例较高。</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4.聘请行业、企业专业人才和能工巧匠担任兼职教师，“双师”结构合理。</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5.专任教师教科研情况及取得的显著成果。</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6.师资队伍建设有规划，引进、培养有举措，经费有保障，评价机制合理。</w:t>
            </w:r>
          </w:p>
        </w:tc>
        <w:tc>
          <w:tcPr>
            <w:tcW w:w="2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1.专业带头人基本情况简介（各种社会兼职、开展各种社会活动、取得的显著成果）</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2.师资队伍（含兼职教师）基本状态统计和行业、企业经历的证明材料和“双师”素质的证明材料</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3.师资队伍建设规划与总结及佐证材料</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4.教师培训进修培养、赴企业锻炼</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5.教师考核规定相关文件</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r>
      <w:tr>
        <w:tblPrEx>
          <w:tblCellMar>
            <w:top w:w="0" w:type="dxa"/>
            <w:left w:w="108" w:type="dxa"/>
            <w:bottom w:w="0" w:type="dxa"/>
            <w:right w:w="108" w:type="dxa"/>
          </w:tblCellMar>
        </w:tblPrEx>
        <w:trPr>
          <w:trHeight w:val="90" w:hRule="atLeast"/>
          <w:jc w:val="center"/>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教学条件与实践教学设计</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教学条件与实践教学设计</w:t>
            </w:r>
          </w:p>
        </w:tc>
        <w:tc>
          <w:tcPr>
            <w:tcW w:w="3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1.校内实训基地能够满足教学计划的安排，生产性实训比例逐步加大。</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2.每个专业有若干个深度融合的企业，注重校企合作共建生产性实训基地，有一批稳定的校外实习基地。</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3.校外实习基地运行状态良好，保障机制完善。</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4.图书资料、优质教学资源和网络信息资源丰富，开发利用较好。</w:t>
            </w:r>
          </w:p>
        </w:tc>
        <w:tc>
          <w:tcPr>
            <w:tcW w:w="2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1.校内实训基地一览表</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2.实践性教学管理制度</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3.校外实训基地一览表学生实习实训情况、考核材料主要照片</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4.校外实习实训基地建设情况总结及佐证材料</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5.学生校外实习管理制度</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6.图书馆生均面积、馆藏册数、开放时间保障情况，本专业藏书、电子阅览、校网等建设情况</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r>
      <w:tr>
        <w:tblPrEx>
          <w:tblCellMar>
            <w:top w:w="0" w:type="dxa"/>
            <w:left w:w="108" w:type="dxa"/>
            <w:bottom w:w="0" w:type="dxa"/>
            <w:right w:w="108" w:type="dxa"/>
          </w:tblCellMar>
        </w:tblPrEx>
        <w:trPr>
          <w:trHeight w:val="983" w:hRule="atLeast"/>
          <w:jc w:val="center"/>
        </w:trPr>
        <w:tc>
          <w:tcPr>
            <w:tcW w:w="6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教学管理与改革</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教学管理</w:t>
            </w:r>
          </w:p>
        </w:tc>
        <w:tc>
          <w:tcPr>
            <w:tcW w:w="3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1.教学管理制度完备、规范，教育教学管理队伍、学生管理队伍健全，教师教学档案规范，教学质量保障体系完备，教学运行稳定有序，执行有力。</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2.注重教学管理体制改革，建立校企合作长效机制，顶岗实习管理体系完备。</w:t>
            </w:r>
          </w:p>
        </w:tc>
        <w:tc>
          <w:tcPr>
            <w:tcW w:w="2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1.教学质量检查、监控与考评体系</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2.教学管理条例、规章制度汇编等</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3.教学与学生管理人员一览表</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4.教学管理过程材料、改革综述、工作总结等</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5.学生顶岗实习工作管理制度，实习手册、实习日记、实习报告等材料</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6.校企合作制度</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r>
      <w:tr>
        <w:tblPrEx>
          <w:tblCellMar>
            <w:top w:w="0" w:type="dxa"/>
            <w:left w:w="108" w:type="dxa"/>
            <w:bottom w:w="0" w:type="dxa"/>
            <w:right w:w="108" w:type="dxa"/>
          </w:tblCellMar>
        </w:tblPrEx>
        <w:trPr>
          <w:trHeight w:val="851" w:hRule="atLeast"/>
          <w:jc w:val="center"/>
        </w:trPr>
        <w:tc>
          <w:tcPr>
            <w:tcW w:w="6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center"/>
              <w:rPr>
                <w:rFonts w:ascii="仿宋" w:hAnsi="仿宋" w:eastAsia="仿宋" w:cs="仿宋"/>
                <w:color w:val="000000"/>
                <w:sz w:val="22"/>
                <w:szCs w:val="22"/>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教学改革</w:t>
            </w:r>
          </w:p>
        </w:tc>
        <w:tc>
          <w:tcPr>
            <w:tcW w:w="3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1.注重教学方法和手段的改革，采用新颖多样的教学形式、现代化的教学手段，灵活多元的考核评价方式，融“教、学、做”为一体。</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2.重视教师教科研能力和社会服务能力的培养，社会服务开展情况及成效。</w:t>
            </w:r>
          </w:p>
        </w:tc>
        <w:tc>
          <w:tcPr>
            <w:tcW w:w="2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1.教学改革典型案例</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2.专业课程教学方法、教学手段、考核评价方式改革综述及佐证材料</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3.网络课程、教学课件、教学资源库等现代教学手段使用统计和网址</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4.教师承担、参与的科研课题方面的合作协议、开展社会服务、发表论文等成果统计</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5.科研管理奖励办法</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r>
      <w:tr>
        <w:tblPrEx>
          <w:tblCellMar>
            <w:top w:w="0" w:type="dxa"/>
            <w:left w:w="108" w:type="dxa"/>
            <w:bottom w:w="0" w:type="dxa"/>
            <w:right w:w="108" w:type="dxa"/>
          </w:tblCellMar>
        </w:tblPrEx>
        <w:trPr>
          <w:trHeight w:val="90" w:hRule="atLeast"/>
          <w:jc w:val="center"/>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人才培养成效与社会服务</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人才培养成效与社会服务</w:t>
            </w:r>
          </w:p>
        </w:tc>
        <w:tc>
          <w:tcPr>
            <w:tcW w:w="3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1.生源质量，第一志愿录取率、新生报到率高于全校平均水平。</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2.建立了就业保障机制，毕业生就业率、签约率，就业质量高于全校平均水平。</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3.学生职业关键能力、素质教育改革创新的措施、力度、成效，学生创新创业成果，</w:t>
            </w:r>
            <w:r>
              <w:rPr>
                <w:rFonts w:hint="eastAsia" w:ascii="仿宋" w:hAnsi="仿宋" w:eastAsia="仿宋" w:cs="仿宋"/>
                <w:kern w:val="0"/>
                <w:sz w:val="22"/>
                <w:szCs w:val="22"/>
                <w:lang w:bidi="ar"/>
              </w:rPr>
              <w:t>学生</w:t>
            </w:r>
            <w:r>
              <w:rPr>
                <w:rFonts w:hint="eastAsia" w:ascii="仿宋" w:hAnsi="仿宋" w:eastAsia="仿宋" w:cs="仿宋"/>
                <w:color w:val="000000"/>
                <w:kern w:val="0"/>
                <w:sz w:val="22"/>
                <w:szCs w:val="22"/>
                <w:lang w:bidi="ar"/>
              </w:rPr>
              <w:t>职业资格证书或技术等级证书</w:t>
            </w:r>
            <w:r>
              <w:rPr>
                <w:rFonts w:hint="eastAsia" w:ascii="仿宋" w:hAnsi="仿宋" w:eastAsia="仿宋" w:cs="仿宋"/>
                <w:kern w:val="0"/>
                <w:sz w:val="22"/>
                <w:szCs w:val="22"/>
                <w:lang w:bidi="ar"/>
              </w:rPr>
              <w:t>获取率、计算机英语考试通过率，职业技能竞赛参与获奖情况</w:t>
            </w:r>
            <w:r>
              <w:rPr>
                <w:rFonts w:hint="eastAsia" w:ascii="仿宋" w:hAnsi="仿宋" w:eastAsia="仿宋" w:cs="仿宋"/>
                <w:color w:val="000000"/>
                <w:kern w:val="0"/>
                <w:sz w:val="22"/>
                <w:szCs w:val="22"/>
                <w:lang w:bidi="ar"/>
              </w:rPr>
              <w:t>高于全校平均水平。</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4.用人单位对毕业生的综合评价，专业在行业企业的知名度良好。</w:t>
            </w:r>
          </w:p>
        </w:tc>
        <w:tc>
          <w:tcPr>
            <w:tcW w:w="2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1.本学年新生录取、报到分析</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2.本学年毕业生就业、获证、“双证书”、竞赛获奖等情况</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3.学生就业工作组织管理、制度管理、专项会议、招聘会等材料</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4.本专业学生职业关键能力培养、素质教育总结及佐证材料</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5.学年毕业生就业跟踪调查材料</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6.行业、企业对专业的评价，学生在行业、企业职业发展情况（典型案例等）</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r>
      <w:tr>
        <w:tblPrEx>
          <w:tblCellMar>
            <w:top w:w="0" w:type="dxa"/>
            <w:left w:w="108" w:type="dxa"/>
            <w:bottom w:w="0" w:type="dxa"/>
            <w:right w:w="108" w:type="dxa"/>
          </w:tblCellMar>
        </w:tblPrEx>
        <w:trPr>
          <w:trHeight w:val="1440" w:hRule="atLeast"/>
          <w:jc w:val="center"/>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专业</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特色</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专业</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特色</w:t>
            </w:r>
          </w:p>
        </w:tc>
        <w:tc>
          <w:tcPr>
            <w:tcW w:w="3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能从人才培养模式；课程体系建设；教育教学改革；创新创业教育；实践教学；师资队伍；校企合作；服务社会……等方面有总结凝练专业建设1至2个特色。</w:t>
            </w:r>
          </w:p>
        </w:tc>
        <w:tc>
          <w:tcPr>
            <w:tcW w:w="2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凝练综述材料</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left"/>
              <w:rPr>
                <w:rFonts w:ascii="仿宋" w:hAnsi="仿宋" w:eastAsia="仿宋" w:cs="仿宋"/>
                <w:color w:val="000000"/>
                <w:sz w:val="22"/>
                <w:szCs w:val="22"/>
              </w:rPr>
            </w:pPr>
          </w:p>
        </w:tc>
      </w:tr>
    </w:tbl>
    <w:p>
      <w:pPr>
        <w:adjustRightInd w:val="0"/>
        <w:snapToGrid w:val="0"/>
        <w:spacing w:line="308" w:lineRule="auto"/>
        <w:ind w:right="105" w:rightChars="50" w:firstLine="482" w:firstLineChars="200"/>
        <w:rPr>
          <w:rFonts w:hint="eastAsia" w:ascii="楷体" w:hAnsi="楷体" w:eastAsia="楷体" w:cs="楷体"/>
          <w:b/>
          <w:sz w:val="24"/>
        </w:rPr>
      </w:pPr>
    </w:p>
    <w:p>
      <w:pPr>
        <w:adjustRightInd w:val="0"/>
        <w:snapToGrid w:val="0"/>
        <w:spacing w:line="308" w:lineRule="auto"/>
        <w:ind w:right="105" w:rightChars="50" w:firstLine="482" w:firstLineChars="200"/>
        <w:rPr>
          <w:rFonts w:hint="eastAsia" w:ascii="楷体" w:hAnsi="楷体" w:eastAsia="楷体" w:cs="楷体"/>
          <w:b/>
          <w:sz w:val="24"/>
        </w:rPr>
      </w:pPr>
      <w:r>
        <w:rPr>
          <w:rFonts w:hint="eastAsia" w:ascii="楷体" w:hAnsi="楷体" w:eastAsia="楷体" w:cs="楷体"/>
          <w:b/>
          <w:sz w:val="24"/>
        </w:rPr>
        <w:t>（二）创新与改进</w:t>
      </w:r>
    </w:p>
    <w:p>
      <w:pPr>
        <w:adjustRightInd w:val="0"/>
        <w:snapToGrid w:val="0"/>
        <w:spacing w:before="156" w:beforeLines="50" w:line="308" w:lineRule="auto"/>
        <w:ind w:firstLine="480" w:firstLineChars="200"/>
        <w:jc w:val="left"/>
        <w:rPr>
          <w:rFonts w:ascii="仿宋" w:hAnsi="仿宋" w:eastAsia="仿宋" w:cs="仿宋"/>
          <w:bCs/>
          <w:kern w:val="0"/>
          <w:sz w:val="24"/>
        </w:rPr>
      </w:pPr>
      <w:r>
        <w:rPr>
          <w:rFonts w:hint="eastAsia" w:ascii="仿宋" w:hAnsi="仿宋" w:eastAsia="仿宋" w:cs="仿宋"/>
          <w:bCs/>
          <w:kern w:val="0"/>
          <w:sz w:val="24"/>
        </w:rPr>
        <w:t>对照监测预警反馈的问题，结合专业建设实际，形成本学年自我诊改目标，对存在的问题进行实时改进。具体自我诊改目标、自我诊断意见、改进的措施及改进的成效如下。</w:t>
      </w:r>
    </w:p>
    <w:p>
      <w:pPr>
        <w:adjustRightInd w:val="0"/>
        <w:snapToGrid w:val="0"/>
        <w:spacing w:before="156" w:beforeLines="50" w:line="308" w:lineRule="auto"/>
        <w:ind w:firstLine="482" w:firstLineChars="200"/>
        <w:jc w:val="left"/>
        <w:rPr>
          <w:rFonts w:ascii="仿宋" w:hAnsi="仿宋" w:eastAsia="仿宋" w:cs="仿宋"/>
          <w:b/>
          <w:color w:val="0000FF"/>
          <w:kern w:val="0"/>
          <w:sz w:val="24"/>
        </w:rPr>
      </w:pPr>
      <w:r>
        <w:rPr>
          <w:rFonts w:hint="eastAsia" w:ascii="仿宋" w:hAnsi="仿宋" w:eastAsia="仿宋" w:cs="仿宋"/>
          <w:b/>
          <w:kern w:val="0"/>
          <w:sz w:val="24"/>
        </w:rPr>
        <w:t>本学年自我诊改目标1：</w:t>
      </w:r>
    </w:p>
    <w:p>
      <w:pPr>
        <w:adjustRightInd w:val="0"/>
        <w:snapToGrid w:val="0"/>
        <w:spacing w:before="156" w:beforeLines="50" w:line="308" w:lineRule="auto"/>
        <w:ind w:firstLine="480" w:firstLineChars="200"/>
        <w:jc w:val="left"/>
        <w:rPr>
          <w:rFonts w:ascii="仿宋" w:hAnsi="仿宋" w:eastAsia="仿宋" w:cs="仿宋"/>
          <w:bCs/>
          <w:color w:val="0000FF"/>
          <w:kern w:val="0"/>
          <w:sz w:val="24"/>
        </w:rPr>
      </w:pPr>
      <w:r>
        <w:rPr>
          <w:rFonts w:hint="eastAsia" w:ascii="仿宋" w:hAnsi="仿宋" w:eastAsia="仿宋" w:cs="仿宋"/>
          <w:bCs/>
          <w:kern w:val="0"/>
          <w:sz w:val="24"/>
        </w:rPr>
        <w:t>自我诊断意见：</w:t>
      </w:r>
      <w:r>
        <w:rPr>
          <w:rFonts w:hint="eastAsia" w:ascii="仿宋" w:hAnsi="仿宋" w:eastAsia="仿宋" w:cs="仿宋"/>
          <w:bCs/>
          <w:color w:val="0000FF"/>
          <w:kern w:val="0"/>
          <w:sz w:val="24"/>
        </w:rPr>
        <w:t>（需阐明目标达成程度，主要成绩，存在问题，原因分析。总体不超过500字。存在问题与原因分析应占一半左右篇幅。）</w:t>
      </w:r>
    </w:p>
    <w:p>
      <w:pPr>
        <w:adjustRightInd w:val="0"/>
        <w:snapToGrid w:val="0"/>
        <w:spacing w:before="156" w:beforeLines="50" w:line="308" w:lineRule="auto"/>
        <w:ind w:firstLine="480" w:firstLineChars="200"/>
        <w:jc w:val="left"/>
        <w:rPr>
          <w:rFonts w:ascii="仿宋" w:hAnsi="仿宋" w:eastAsia="仿宋" w:cs="仿宋"/>
          <w:bCs/>
          <w:color w:val="0000FF"/>
          <w:kern w:val="0"/>
          <w:sz w:val="24"/>
        </w:rPr>
      </w:pPr>
      <w:r>
        <w:rPr>
          <w:rFonts w:hint="eastAsia" w:ascii="仿宋" w:hAnsi="仿宋" w:eastAsia="仿宋" w:cs="仿宋"/>
          <w:bCs/>
          <w:kern w:val="0"/>
          <w:sz w:val="24"/>
        </w:rPr>
        <w:t>改进措施1：</w:t>
      </w:r>
      <w:r>
        <w:rPr>
          <w:rFonts w:hint="eastAsia" w:ascii="仿宋" w:hAnsi="仿宋" w:eastAsia="仿宋" w:cs="仿宋"/>
          <w:bCs/>
          <w:color w:val="0000FF"/>
          <w:kern w:val="0"/>
          <w:sz w:val="24"/>
        </w:rPr>
        <w:t>（需突出针对性、注重可行性。总体不超过200字。）</w:t>
      </w:r>
    </w:p>
    <w:p>
      <w:pPr>
        <w:adjustRightInd w:val="0"/>
        <w:snapToGrid w:val="0"/>
        <w:spacing w:before="156" w:beforeLines="50" w:line="308" w:lineRule="auto"/>
        <w:ind w:firstLine="480" w:firstLineChars="200"/>
        <w:jc w:val="left"/>
        <w:rPr>
          <w:rFonts w:ascii="仿宋" w:hAnsi="仿宋" w:eastAsia="仿宋" w:cs="仿宋"/>
          <w:bCs/>
          <w:color w:val="0000FF"/>
          <w:kern w:val="0"/>
          <w:sz w:val="24"/>
        </w:rPr>
      </w:pPr>
      <w:r>
        <w:rPr>
          <w:rFonts w:hint="eastAsia" w:ascii="仿宋" w:hAnsi="仿宋" w:eastAsia="仿宋" w:cs="仿宋"/>
          <w:bCs/>
          <w:kern w:val="0"/>
          <w:sz w:val="24"/>
        </w:rPr>
        <w:t>改进成效1：</w:t>
      </w:r>
      <w:r>
        <w:rPr>
          <w:rFonts w:hint="eastAsia" w:ascii="仿宋" w:hAnsi="仿宋" w:eastAsia="仿宋" w:cs="仿宋"/>
          <w:bCs/>
          <w:color w:val="0000FF"/>
          <w:kern w:val="0"/>
          <w:sz w:val="24"/>
        </w:rPr>
        <w:t>（“改进成效”指实施改进措施之后已经显现的实际效果或形成的特色，不是预测或估计成效。如果措施尚未实施，请加说明。总体不超过200字。）</w:t>
      </w:r>
    </w:p>
    <w:p>
      <w:pPr>
        <w:adjustRightInd w:val="0"/>
        <w:snapToGrid w:val="0"/>
        <w:spacing w:before="156" w:beforeLines="50" w:line="308" w:lineRule="auto"/>
        <w:ind w:firstLine="480" w:firstLineChars="200"/>
        <w:jc w:val="left"/>
        <w:rPr>
          <w:rFonts w:ascii="仿宋" w:hAnsi="仿宋" w:eastAsia="仿宋" w:cs="仿宋"/>
          <w:bCs/>
          <w:kern w:val="0"/>
          <w:sz w:val="24"/>
        </w:rPr>
      </w:pPr>
      <w:r>
        <w:rPr>
          <w:rFonts w:hint="eastAsia" w:ascii="仿宋" w:hAnsi="仿宋" w:eastAsia="仿宋" w:cs="仿宋"/>
          <w:bCs/>
          <w:kern w:val="0"/>
          <w:sz w:val="24"/>
        </w:rPr>
        <w:t>改进措施2：</w:t>
      </w:r>
    </w:p>
    <w:p>
      <w:pPr>
        <w:adjustRightInd w:val="0"/>
        <w:snapToGrid w:val="0"/>
        <w:spacing w:before="156" w:beforeLines="50" w:line="308" w:lineRule="auto"/>
        <w:ind w:left="479" w:leftChars="228"/>
        <w:jc w:val="left"/>
        <w:rPr>
          <w:rFonts w:ascii="仿宋" w:hAnsi="仿宋" w:eastAsia="仿宋" w:cs="仿宋"/>
          <w:bCs/>
          <w:kern w:val="0"/>
          <w:sz w:val="24"/>
        </w:rPr>
      </w:pPr>
      <w:r>
        <w:rPr>
          <w:rFonts w:hint="eastAsia" w:ascii="仿宋" w:hAnsi="仿宋" w:eastAsia="仿宋" w:cs="仿宋"/>
          <w:bCs/>
          <w:kern w:val="0"/>
          <w:sz w:val="24"/>
        </w:rPr>
        <w:t>改进成效2：</w:t>
      </w:r>
      <w:r>
        <w:rPr>
          <w:rFonts w:hint="eastAsia" w:ascii="仿宋" w:hAnsi="仿宋" w:eastAsia="仿宋" w:cs="仿宋"/>
          <w:bCs/>
          <w:kern w:val="0"/>
          <w:sz w:val="24"/>
        </w:rPr>
        <w:br w:type="textWrapping"/>
      </w:r>
      <w:r>
        <w:rPr>
          <w:rFonts w:hint="eastAsia" w:ascii="仿宋" w:hAnsi="仿宋" w:eastAsia="仿宋" w:cs="仿宋"/>
          <w:bCs/>
          <w:kern w:val="0"/>
          <w:sz w:val="24"/>
        </w:rPr>
        <w:t>……</w:t>
      </w:r>
    </w:p>
    <w:p>
      <w:pPr>
        <w:adjustRightInd w:val="0"/>
        <w:snapToGrid w:val="0"/>
        <w:spacing w:before="156" w:beforeLines="50" w:line="308" w:lineRule="auto"/>
        <w:ind w:firstLine="482" w:firstLineChars="200"/>
        <w:jc w:val="left"/>
        <w:rPr>
          <w:rFonts w:ascii="仿宋" w:hAnsi="仿宋" w:eastAsia="仿宋" w:cs="仿宋"/>
          <w:bCs/>
          <w:kern w:val="0"/>
          <w:sz w:val="24"/>
        </w:rPr>
      </w:pPr>
      <w:r>
        <w:rPr>
          <w:rFonts w:hint="eastAsia" w:ascii="仿宋" w:hAnsi="仿宋" w:eastAsia="仿宋" w:cs="仿宋"/>
          <w:b/>
          <w:kern w:val="0"/>
          <w:sz w:val="24"/>
        </w:rPr>
        <w:t>本学年自我诊改目标2：</w:t>
      </w:r>
    </w:p>
    <w:p>
      <w:pPr>
        <w:adjustRightInd w:val="0"/>
        <w:snapToGrid w:val="0"/>
        <w:spacing w:before="156" w:beforeLines="50" w:line="308" w:lineRule="auto"/>
        <w:ind w:firstLine="480" w:firstLineChars="200"/>
        <w:jc w:val="left"/>
        <w:rPr>
          <w:rFonts w:ascii="仿宋" w:hAnsi="仿宋" w:eastAsia="仿宋" w:cs="仿宋"/>
          <w:bCs/>
          <w:kern w:val="0"/>
          <w:sz w:val="24"/>
        </w:rPr>
      </w:pPr>
      <w:r>
        <w:rPr>
          <w:rFonts w:hint="eastAsia" w:ascii="仿宋" w:hAnsi="仿宋" w:eastAsia="仿宋" w:cs="仿宋"/>
          <w:bCs/>
          <w:kern w:val="0"/>
          <w:sz w:val="24"/>
        </w:rPr>
        <w:t>自我诊断意见：</w:t>
      </w:r>
    </w:p>
    <w:p>
      <w:pPr>
        <w:adjustRightInd w:val="0"/>
        <w:snapToGrid w:val="0"/>
        <w:spacing w:before="156" w:beforeLines="50" w:line="308" w:lineRule="auto"/>
        <w:ind w:firstLine="480" w:firstLineChars="200"/>
        <w:jc w:val="left"/>
        <w:rPr>
          <w:rFonts w:ascii="仿宋" w:hAnsi="仿宋" w:eastAsia="仿宋" w:cs="仿宋"/>
          <w:bCs/>
          <w:kern w:val="0"/>
          <w:sz w:val="24"/>
        </w:rPr>
      </w:pPr>
      <w:r>
        <w:rPr>
          <w:rFonts w:hint="eastAsia" w:ascii="仿宋" w:hAnsi="仿宋" w:eastAsia="仿宋" w:cs="仿宋"/>
          <w:bCs/>
          <w:kern w:val="0"/>
          <w:sz w:val="24"/>
        </w:rPr>
        <w:t>改进措施1：</w:t>
      </w:r>
    </w:p>
    <w:p>
      <w:pPr>
        <w:adjustRightInd w:val="0"/>
        <w:snapToGrid w:val="0"/>
        <w:spacing w:before="156" w:beforeLines="50" w:line="308" w:lineRule="auto"/>
        <w:ind w:firstLine="480" w:firstLineChars="200"/>
        <w:jc w:val="left"/>
        <w:rPr>
          <w:rFonts w:ascii="仿宋" w:hAnsi="仿宋" w:eastAsia="仿宋" w:cs="仿宋"/>
          <w:bCs/>
          <w:kern w:val="0"/>
          <w:sz w:val="24"/>
        </w:rPr>
      </w:pPr>
      <w:r>
        <w:rPr>
          <w:rFonts w:hint="eastAsia" w:ascii="仿宋" w:hAnsi="仿宋" w:eastAsia="仿宋" w:cs="仿宋"/>
          <w:bCs/>
          <w:kern w:val="0"/>
          <w:sz w:val="24"/>
        </w:rPr>
        <w:t>改进成效1：</w:t>
      </w:r>
    </w:p>
    <w:p>
      <w:pPr>
        <w:adjustRightInd w:val="0"/>
        <w:snapToGrid w:val="0"/>
        <w:spacing w:before="156" w:beforeLines="50" w:line="308" w:lineRule="auto"/>
        <w:ind w:firstLine="480" w:firstLineChars="200"/>
        <w:jc w:val="left"/>
        <w:rPr>
          <w:rFonts w:ascii="仿宋" w:hAnsi="仿宋" w:eastAsia="仿宋" w:cs="仿宋"/>
          <w:bCs/>
          <w:kern w:val="0"/>
          <w:sz w:val="24"/>
        </w:rPr>
      </w:pPr>
      <w:r>
        <w:rPr>
          <w:rFonts w:hint="eastAsia" w:ascii="仿宋" w:hAnsi="仿宋" w:eastAsia="仿宋" w:cs="仿宋"/>
          <w:bCs/>
          <w:kern w:val="0"/>
          <w:sz w:val="24"/>
        </w:rPr>
        <w:t>改进措施2：</w:t>
      </w:r>
    </w:p>
    <w:p>
      <w:pPr>
        <w:adjustRightInd w:val="0"/>
        <w:snapToGrid w:val="0"/>
        <w:spacing w:before="156" w:beforeLines="50" w:line="308" w:lineRule="auto"/>
        <w:ind w:left="479" w:leftChars="228"/>
        <w:jc w:val="left"/>
        <w:rPr>
          <w:rFonts w:ascii="仿宋" w:hAnsi="仿宋" w:eastAsia="仿宋" w:cs="仿宋"/>
          <w:bCs/>
          <w:kern w:val="0"/>
          <w:sz w:val="24"/>
        </w:rPr>
      </w:pPr>
      <w:r>
        <w:rPr>
          <w:rFonts w:hint="eastAsia" w:ascii="仿宋" w:hAnsi="仿宋" w:eastAsia="仿宋" w:cs="仿宋"/>
          <w:bCs/>
          <w:kern w:val="0"/>
          <w:sz w:val="24"/>
        </w:rPr>
        <w:t>改进成效2：</w:t>
      </w:r>
      <w:r>
        <w:rPr>
          <w:rFonts w:hint="eastAsia" w:ascii="仿宋" w:hAnsi="仿宋" w:eastAsia="仿宋" w:cs="仿宋"/>
          <w:bCs/>
          <w:kern w:val="0"/>
          <w:sz w:val="24"/>
        </w:rPr>
        <w:br w:type="textWrapping"/>
      </w:r>
      <w:r>
        <w:rPr>
          <w:rFonts w:hint="eastAsia" w:ascii="仿宋" w:hAnsi="仿宋" w:eastAsia="仿宋" w:cs="仿宋"/>
          <w:bCs/>
          <w:kern w:val="0"/>
          <w:sz w:val="24"/>
        </w:rPr>
        <w:t>……</w:t>
      </w:r>
    </w:p>
    <w:p>
      <w:pPr>
        <w:adjustRightInd w:val="0"/>
        <w:snapToGrid w:val="0"/>
        <w:spacing w:before="156" w:beforeLines="50" w:line="308" w:lineRule="auto"/>
        <w:ind w:firstLine="482" w:firstLineChars="200"/>
        <w:jc w:val="left"/>
        <w:rPr>
          <w:rFonts w:ascii="仿宋" w:hAnsi="仿宋" w:eastAsia="仿宋" w:cs="仿宋"/>
          <w:bCs/>
          <w:kern w:val="0"/>
          <w:sz w:val="24"/>
        </w:rPr>
      </w:pPr>
      <w:r>
        <w:rPr>
          <w:rFonts w:hint="eastAsia" w:ascii="仿宋" w:hAnsi="仿宋" w:eastAsia="仿宋" w:cs="仿宋"/>
          <w:b/>
          <w:kern w:val="0"/>
          <w:sz w:val="24"/>
        </w:rPr>
        <w:t>本学年自我诊改目标3：</w:t>
      </w:r>
    </w:p>
    <w:p>
      <w:pPr>
        <w:adjustRightInd w:val="0"/>
        <w:snapToGrid w:val="0"/>
        <w:spacing w:before="156" w:beforeLines="50" w:line="308" w:lineRule="auto"/>
        <w:ind w:firstLine="480" w:firstLineChars="200"/>
        <w:jc w:val="left"/>
        <w:rPr>
          <w:rFonts w:ascii="仿宋" w:hAnsi="仿宋" w:eastAsia="仿宋" w:cs="仿宋"/>
          <w:bCs/>
          <w:kern w:val="0"/>
          <w:sz w:val="24"/>
        </w:rPr>
      </w:pPr>
      <w:r>
        <w:rPr>
          <w:rFonts w:hint="eastAsia" w:ascii="仿宋" w:hAnsi="仿宋" w:eastAsia="仿宋" w:cs="仿宋"/>
          <w:bCs/>
          <w:kern w:val="0"/>
          <w:sz w:val="24"/>
        </w:rPr>
        <w:t>自我诊断意见：</w:t>
      </w:r>
    </w:p>
    <w:p>
      <w:pPr>
        <w:adjustRightInd w:val="0"/>
        <w:snapToGrid w:val="0"/>
        <w:spacing w:before="156" w:beforeLines="50" w:line="308" w:lineRule="auto"/>
        <w:ind w:firstLine="480" w:firstLineChars="200"/>
        <w:jc w:val="left"/>
        <w:rPr>
          <w:rFonts w:ascii="仿宋" w:hAnsi="仿宋" w:eastAsia="仿宋" w:cs="仿宋"/>
          <w:bCs/>
          <w:kern w:val="0"/>
          <w:sz w:val="24"/>
        </w:rPr>
      </w:pPr>
      <w:r>
        <w:rPr>
          <w:rFonts w:hint="eastAsia" w:ascii="仿宋" w:hAnsi="仿宋" w:eastAsia="仿宋" w:cs="仿宋"/>
          <w:bCs/>
          <w:kern w:val="0"/>
          <w:sz w:val="24"/>
        </w:rPr>
        <w:t>改进措施1：</w:t>
      </w:r>
    </w:p>
    <w:p>
      <w:pPr>
        <w:adjustRightInd w:val="0"/>
        <w:snapToGrid w:val="0"/>
        <w:spacing w:before="156" w:beforeLines="50" w:line="308" w:lineRule="auto"/>
        <w:ind w:firstLine="480" w:firstLineChars="200"/>
        <w:jc w:val="left"/>
        <w:rPr>
          <w:rFonts w:ascii="仿宋" w:hAnsi="仿宋" w:eastAsia="仿宋" w:cs="仿宋"/>
          <w:bCs/>
          <w:kern w:val="0"/>
          <w:sz w:val="24"/>
        </w:rPr>
      </w:pPr>
      <w:r>
        <w:rPr>
          <w:rFonts w:hint="eastAsia" w:ascii="仿宋" w:hAnsi="仿宋" w:eastAsia="仿宋" w:cs="仿宋"/>
          <w:bCs/>
          <w:kern w:val="0"/>
          <w:sz w:val="24"/>
        </w:rPr>
        <w:t>改进成效1：</w:t>
      </w:r>
    </w:p>
    <w:p>
      <w:pPr>
        <w:adjustRightInd w:val="0"/>
        <w:snapToGrid w:val="0"/>
        <w:spacing w:before="156" w:beforeLines="50" w:line="308" w:lineRule="auto"/>
        <w:ind w:firstLine="480" w:firstLineChars="200"/>
        <w:jc w:val="left"/>
        <w:rPr>
          <w:rFonts w:ascii="仿宋" w:hAnsi="仿宋" w:eastAsia="仿宋" w:cs="仿宋"/>
          <w:bCs/>
          <w:kern w:val="0"/>
          <w:sz w:val="24"/>
        </w:rPr>
      </w:pPr>
      <w:r>
        <w:rPr>
          <w:rFonts w:hint="eastAsia" w:ascii="仿宋" w:hAnsi="仿宋" w:eastAsia="仿宋" w:cs="仿宋"/>
          <w:bCs/>
          <w:kern w:val="0"/>
          <w:sz w:val="24"/>
        </w:rPr>
        <w:t>改进措施2：</w:t>
      </w:r>
    </w:p>
    <w:p>
      <w:pPr>
        <w:adjustRightInd w:val="0"/>
        <w:snapToGrid w:val="0"/>
        <w:spacing w:before="156" w:beforeLines="50" w:line="308" w:lineRule="auto"/>
        <w:ind w:firstLine="480" w:firstLineChars="200"/>
        <w:jc w:val="left"/>
        <w:rPr>
          <w:rFonts w:ascii="仿宋" w:hAnsi="仿宋" w:eastAsia="仿宋" w:cs="仿宋"/>
          <w:bCs/>
          <w:kern w:val="0"/>
          <w:sz w:val="24"/>
        </w:rPr>
      </w:pPr>
      <w:r>
        <w:rPr>
          <w:rFonts w:hint="eastAsia" w:ascii="仿宋" w:hAnsi="仿宋" w:eastAsia="仿宋" w:cs="仿宋"/>
          <w:bCs/>
          <w:kern w:val="0"/>
          <w:sz w:val="24"/>
        </w:rPr>
        <w:t>改进成效2：</w:t>
      </w:r>
    </w:p>
    <w:p>
      <w:pPr>
        <w:adjustRightInd w:val="0"/>
        <w:snapToGrid w:val="0"/>
        <w:spacing w:before="156" w:beforeLines="50" w:line="308" w:lineRule="auto"/>
        <w:ind w:firstLine="480" w:firstLineChars="200"/>
        <w:jc w:val="left"/>
        <w:rPr>
          <w:rFonts w:ascii="仿宋" w:hAnsi="仿宋" w:eastAsia="仿宋" w:cs="仿宋"/>
          <w:bCs/>
          <w:kern w:val="0"/>
          <w:sz w:val="24"/>
        </w:rPr>
      </w:pPr>
      <w:r>
        <w:rPr>
          <w:rFonts w:hint="eastAsia" w:ascii="仿宋" w:hAnsi="仿宋" w:eastAsia="仿宋" w:cs="仿宋"/>
          <w:bCs/>
          <w:kern w:val="0"/>
          <w:sz w:val="24"/>
        </w:rPr>
        <w:t>……</w:t>
      </w:r>
    </w:p>
    <w:p>
      <w:pPr>
        <w:adjustRightInd w:val="0"/>
        <w:snapToGrid w:val="0"/>
        <w:spacing w:before="156" w:beforeLines="50" w:line="308" w:lineRule="auto"/>
        <w:ind w:firstLine="482" w:firstLineChars="200"/>
        <w:jc w:val="left"/>
        <w:rPr>
          <w:rFonts w:hint="eastAsia" w:ascii="黑体" w:hAnsi="黑体" w:eastAsia="黑体" w:cs="黑体"/>
          <w:b/>
          <w:color w:val="0000FF"/>
          <w:kern w:val="0"/>
          <w:sz w:val="24"/>
        </w:rPr>
      </w:pPr>
      <w:r>
        <w:rPr>
          <w:rFonts w:hint="eastAsia" w:ascii="黑体" w:hAnsi="黑体" w:eastAsia="黑体" w:cs="黑体"/>
          <w:b/>
          <w:kern w:val="0"/>
          <w:sz w:val="24"/>
        </w:rPr>
        <w:t>五、下一步努力的方向</w:t>
      </w:r>
      <w:r>
        <w:rPr>
          <w:rFonts w:hint="eastAsia" w:ascii="黑体" w:hAnsi="黑体" w:eastAsia="黑体" w:cs="黑体"/>
          <w:b/>
          <w:color w:val="0000FF"/>
          <w:kern w:val="0"/>
          <w:sz w:val="24"/>
        </w:rPr>
        <w:t>（新目标）</w:t>
      </w:r>
    </w:p>
    <w:p>
      <w:pPr>
        <w:pStyle w:val="2"/>
        <w:ind w:left="0" w:leftChars="0" w:firstLine="0" w:firstLineChars="0"/>
        <w:jc w:val="left"/>
        <w:rPr>
          <w:rFonts w:hint="eastAsia"/>
          <w:lang w:eastAsia="zh-CN"/>
        </w:rPr>
      </w:pPr>
    </w:p>
    <w:p>
      <w:pPr>
        <w:pStyle w:val="2"/>
        <w:ind w:left="0" w:leftChars="0" w:firstLine="0" w:firstLineChars="0"/>
        <w:jc w:val="left"/>
        <w:rPr>
          <w:rFonts w:hint="eastAsia"/>
          <w:lang w:eastAsia="zh-CN"/>
        </w:rPr>
        <w:sectPr>
          <w:pgSz w:w="11906" w:h="16838"/>
          <w:pgMar w:top="1440" w:right="1417" w:bottom="1440" w:left="1417" w:header="851" w:footer="992" w:gutter="0"/>
          <w:pgNumType w:fmt="decimal"/>
          <w:cols w:space="425" w:num="1"/>
          <w:docGrid w:type="lines" w:linePitch="312" w:charSpace="0"/>
        </w:sectPr>
      </w:pPr>
    </w:p>
    <w:p>
      <w:pPr>
        <w:adjustRightInd w:val="0"/>
        <w:snapToGrid w:val="0"/>
        <w:spacing w:line="520" w:lineRule="exact"/>
        <w:jc w:val="center"/>
        <w:rPr>
          <w:rFonts w:hint="eastAsia" w:ascii="宋体" w:hAnsi="宋体" w:eastAsia="宋体" w:cs="宋体"/>
          <w:b/>
          <w:bCs/>
          <w:sz w:val="36"/>
          <w:szCs w:val="36"/>
        </w:rPr>
      </w:pPr>
      <w:r>
        <w:rPr>
          <w:rFonts w:hint="eastAsia" w:ascii="宋体" w:hAnsi="宋体" w:eastAsia="宋体" w:cs="宋体"/>
          <w:b/>
          <w:bCs/>
          <w:sz w:val="36"/>
          <w:szCs w:val="36"/>
          <w:lang w:val="en-US" w:eastAsia="zh-CN"/>
        </w:rPr>
        <w:t>产业学院</w:t>
      </w:r>
      <w:r>
        <w:rPr>
          <w:rFonts w:hint="eastAsia" w:ascii="宋体" w:hAnsi="宋体" w:eastAsia="宋体" w:cs="宋体"/>
          <w:b/>
          <w:bCs/>
          <w:sz w:val="36"/>
          <w:szCs w:val="36"/>
        </w:rPr>
        <w:t>各</w:t>
      </w:r>
      <w:r>
        <w:rPr>
          <w:rFonts w:hint="eastAsia" w:ascii="宋体" w:hAnsi="宋体" w:eastAsia="宋体" w:cs="宋体"/>
          <w:b/>
          <w:bCs/>
          <w:sz w:val="36"/>
          <w:szCs w:val="36"/>
          <w:lang w:val="en-US" w:eastAsia="zh-CN"/>
        </w:rPr>
        <w:t>课程</w:t>
      </w:r>
      <w:r>
        <w:rPr>
          <w:rFonts w:hint="eastAsia" w:ascii="宋体" w:hAnsi="宋体" w:eastAsia="宋体" w:cs="宋体"/>
          <w:b/>
          <w:bCs/>
          <w:sz w:val="36"/>
          <w:szCs w:val="36"/>
        </w:rPr>
        <w:t>****学年自我诊改报告</w:t>
      </w:r>
    </w:p>
    <w:p>
      <w:pPr>
        <w:adjustRightInd w:val="0"/>
        <w:snapToGrid w:val="0"/>
        <w:spacing w:line="520" w:lineRule="exact"/>
        <w:jc w:val="center"/>
        <w:rPr>
          <w:rFonts w:hint="eastAsia" w:ascii="宋体" w:hAnsi="宋体" w:eastAsia="宋体" w:cs="宋体"/>
          <w:b/>
          <w:bCs/>
          <w:sz w:val="36"/>
          <w:szCs w:val="36"/>
        </w:rPr>
      </w:pPr>
      <w:r>
        <w:rPr>
          <w:rFonts w:hint="eastAsia" w:ascii="宋体" w:hAnsi="宋体" w:eastAsia="宋体" w:cs="宋体"/>
          <w:b/>
          <w:bCs/>
          <w:sz w:val="36"/>
          <w:szCs w:val="36"/>
        </w:rPr>
        <w:t>（参考格式）</w:t>
      </w:r>
    </w:p>
    <w:p>
      <w:pPr>
        <w:spacing w:line="308" w:lineRule="auto"/>
        <w:ind w:firstLine="718" w:firstLineChars="298"/>
        <w:rPr>
          <w:rFonts w:ascii="仿宋" w:hAnsi="仿宋" w:eastAsia="仿宋" w:cs="仿宋"/>
          <w:b/>
          <w:sz w:val="24"/>
        </w:rPr>
      </w:pPr>
    </w:p>
    <w:p>
      <w:pPr>
        <w:keepNext w:val="0"/>
        <w:keepLines w:val="0"/>
        <w:pageBreakBefore w:val="0"/>
        <w:widowControl w:val="0"/>
        <w:kinsoku/>
        <w:wordWrap/>
        <w:overflowPunct/>
        <w:topLinePunct w:val="0"/>
        <w:autoSpaceDE/>
        <w:autoSpaceDN/>
        <w:bidi w:val="0"/>
        <w:spacing w:line="308" w:lineRule="auto"/>
        <w:ind w:firstLine="482" w:firstLineChars="200"/>
        <w:textAlignment w:val="auto"/>
        <w:rPr>
          <w:rFonts w:hint="eastAsia" w:ascii="黑体" w:hAnsi="黑体" w:eastAsia="黑体" w:cs="黑体"/>
          <w:b/>
          <w:color w:val="auto"/>
          <w:sz w:val="24"/>
        </w:rPr>
      </w:pPr>
      <w:r>
        <w:rPr>
          <w:rFonts w:hint="eastAsia" w:ascii="黑体" w:hAnsi="黑体" w:eastAsia="黑体" w:cs="黑体"/>
          <w:b/>
          <w:color w:val="auto"/>
          <w:sz w:val="24"/>
        </w:rPr>
        <w:t>一、</w:t>
      </w:r>
      <w:r>
        <w:rPr>
          <w:rFonts w:hint="eastAsia" w:ascii="黑体" w:hAnsi="黑体" w:eastAsia="黑体" w:cs="黑体"/>
          <w:b/>
          <w:color w:val="auto"/>
          <w:sz w:val="24"/>
          <w:lang w:val="en-US" w:eastAsia="zh-CN"/>
        </w:rPr>
        <w:t>课程</w:t>
      </w:r>
      <w:r>
        <w:rPr>
          <w:rFonts w:hint="eastAsia" w:ascii="黑体" w:hAnsi="黑体" w:eastAsia="黑体" w:cs="黑体"/>
          <w:b/>
          <w:color w:val="auto"/>
          <w:sz w:val="24"/>
        </w:rPr>
        <w:t>质量基础</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2" w:firstLineChars="200"/>
        <w:jc w:val="left"/>
        <w:textAlignment w:val="auto"/>
        <w:rPr>
          <w:rFonts w:hint="eastAsia" w:ascii="楷体" w:hAnsi="楷体" w:eastAsia="楷体" w:cs="楷体"/>
          <w:color w:val="auto"/>
          <w:sz w:val="24"/>
          <w:szCs w:val="24"/>
          <w:lang w:val="en-US" w:eastAsia="zh-CN"/>
        </w:rPr>
      </w:pPr>
      <w:r>
        <w:rPr>
          <w:rFonts w:hint="eastAsia" w:ascii="楷体" w:hAnsi="楷体" w:eastAsia="楷体" w:cs="楷体"/>
          <w:b/>
          <w:bCs/>
          <w:color w:val="auto"/>
          <w:sz w:val="24"/>
          <w:szCs w:val="24"/>
          <w:lang w:val="en-US" w:eastAsia="zh-CN"/>
        </w:rPr>
        <w:t>（一）课程定位是否准确</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0" w:firstLineChars="200"/>
        <w:jc w:val="left"/>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1.课程定位</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课程在专业人才培养目标及在课程体系中的定位是否准确，其性质与任务是否全面贯彻党的教育方针，落实立德树人根本任务，为学生职业发展、终身学习和服务社会奠定基础；课程对学生综合职业能力培养方面是否有起到主要支撑作用；课程与前、后续课程衔接的关系是否得当。</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0" w:firstLineChars="200"/>
        <w:jc w:val="left"/>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2.课程目标</w:t>
      </w:r>
    </w:p>
    <w:p>
      <w:pPr>
        <w:keepNext w:val="0"/>
        <w:keepLines w:val="0"/>
        <w:pageBreakBefore w:val="0"/>
        <w:widowControl w:val="0"/>
        <w:kinsoku/>
        <w:wordWrap/>
        <w:overflowPunct/>
        <w:topLinePunct w:val="0"/>
        <w:autoSpaceDE/>
        <w:autoSpaceDN/>
        <w:bidi w:val="0"/>
        <w:spacing w:line="308" w:lineRule="auto"/>
        <w:ind w:firstLine="480" w:firstLineChars="200"/>
        <w:textAlignment w:val="auto"/>
        <w:rPr>
          <w:rFonts w:ascii="仿宋" w:hAnsi="仿宋" w:eastAsia="仿宋" w:cs="仿宋"/>
          <w:bCs/>
          <w:color w:val="auto"/>
          <w:sz w:val="24"/>
        </w:rPr>
      </w:pPr>
      <w:r>
        <w:rPr>
          <w:rFonts w:hint="eastAsia" w:ascii="仿宋" w:hAnsi="仿宋" w:eastAsia="仿宋" w:cs="仿宋"/>
          <w:color w:val="auto"/>
          <w:sz w:val="24"/>
          <w:szCs w:val="24"/>
          <w:lang w:val="en-US" w:eastAsia="zh-CN"/>
        </w:rPr>
        <w:t>课程的教学目标准确可测量，既通过本门课程，培养学生知识方面、能力上、职业素养上以及课程思政上是否达到目标。</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2" w:firstLineChars="200"/>
        <w:jc w:val="left"/>
        <w:textAlignment w:val="auto"/>
        <w:rPr>
          <w:rFonts w:hint="default"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（二）课程内容设置是否合理</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0" w:firstLineChars="200"/>
        <w:jc w:val="left"/>
        <w:textAlignment w:val="auto"/>
        <w:rPr>
          <w:rFonts w:hint="default" w:ascii="仿宋_GB2312" w:hAnsi="宋体" w:eastAsia="仿宋_GB2312" w:cs="宋体"/>
          <w:color w:val="auto"/>
          <w:kern w:val="0"/>
          <w:sz w:val="24"/>
          <w:szCs w:val="24"/>
          <w:lang w:val="en-US" w:eastAsia="zh-CN"/>
        </w:rPr>
      </w:pPr>
      <w:r>
        <w:rPr>
          <w:rFonts w:hint="eastAsia" w:ascii="仿宋_GB2312" w:hAnsi="宋体" w:eastAsia="仿宋_GB2312" w:cs="宋体"/>
          <w:color w:val="auto"/>
          <w:kern w:val="0"/>
          <w:sz w:val="24"/>
          <w:szCs w:val="24"/>
          <w:lang w:val="en-US" w:eastAsia="zh-CN"/>
        </w:rPr>
        <w:t>1.课程内容设置</w:t>
      </w:r>
    </w:p>
    <w:p>
      <w:pPr>
        <w:keepNext w:val="0"/>
        <w:keepLines w:val="0"/>
        <w:pageBreakBefore w:val="0"/>
        <w:widowControl w:val="0"/>
        <w:kinsoku/>
        <w:wordWrap/>
        <w:overflowPunct/>
        <w:topLinePunct w:val="0"/>
        <w:autoSpaceDE/>
        <w:autoSpaceDN/>
        <w:bidi w:val="0"/>
        <w:spacing w:line="308" w:lineRule="auto"/>
        <w:ind w:firstLine="480" w:firstLineChars="200"/>
        <w:textAlignment w:val="auto"/>
        <w:rPr>
          <w:rFonts w:hint="eastAsia" w:ascii="仿宋" w:hAnsi="仿宋" w:eastAsia="仿宋" w:cs="仿宋"/>
          <w:bCs/>
          <w:color w:val="auto"/>
          <w:sz w:val="24"/>
        </w:rPr>
      </w:pPr>
      <w:r>
        <w:rPr>
          <w:rFonts w:hint="eastAsia" w:ascii="仿宋" w:hAnsi="仿宋" w:eastAsia="仿宋" w:cs="仿宋"/>
          <w:bCs/>
          <w:color w:val="auto"/>
          <w:sz w:val="24"/>
        </w:rPr>
        <w:t>是否有强化课程思政。积极构建“思政课程+课程思政”大格局，推进全员全过程全方位“三全育人”，实现思想政治教育与技术技能培养的有机统一。结合学生特点，创新思政课程教学模式。强化课程教师立德树人意识，结合人才培养特点和专业能力素质要求，梳理课程蕴含的思想政治教育元素，发挥课程承载的思想政治教育功能，推动课程教学与思想政治理论课教学紧密结合、同向同行。</w:t>
      </w:r>
    </w:p>
    <w:p>
      <w:pPr>
        <w:keepNext w:val="0"/>
        <w:keepLines w:val="0"/>
        <w:pageBreakBefore w:val="0"/>
        <w:widowControl w:val="0"/>
        <w:kinsoku/>
        <w:wordWrap/>
        <w:overflowPunct/>
        <w:topLinePunct w:val="0"/>
        <w:autoSpaceDE/>
        <w:autoSpaceDN/>
        <w:bidi w:val="0"/>
        <w:spacing w:line="308" w:lineRule="auto"/>
        <w:ind w:firstLine="480" w:firstLineChars="200"/>
        <w:textAlignment w:val="auto"/>
        <w:rPr>
          <w:rFonts w:ascii="仿宋" w:hAnsi="仿宋" w:eastAsia="仿宋" w:cs="仿宋"/>
          <w:bCs/>
          <w:color w:val="auto"/>
          <w:sz w:val="24"/>
        </w:rPr>
      </w:pPr>
      <w:r>
        <w:rPr>
          <w:rFonts w:hint="eastAsia" w:ascii="仿宋" w:hAnsi="仿宋" w:eastAsia="仿宋" w:cs="仿宋"/>
          <w:bCs/>
          <w:color w:val="auto"/>
          <w:sz w:val="24"/>
        </w:rPr>
        <w:t>是否以职业能力为本位，以工作过程为导向，按照科技发展水平和职业资格标准设计课程结构和内容。是否将职业资格标准融入教学内容，以工作任务组织教学内容，注重专业知识、思想品德、人文素养和实践能力的融合。在校企合作上更加注重企业的参与，合作制订突出职业能力的课程标准。实行“1+X证书”制度教育，着力培养具有较强岗位适应能力的面向行业企业的高素质技术技能人才。</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0" w:firstLineChars="200"/>
        <w:jc w:val="left"/>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2.学时安排</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课程内容的组织与安排、学时分配是否合理，是否注重实践教学，实践教学的内容和课时比例是否有侧重等。</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2" w:firstLineChars="200"/>
        <w:jc w:val="left"/>
        <w:textAlignment w:val="auto"/>
        <w:rPr>
          <w:rFonts w:hint="eastAsia"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（三）课程设计是否可行</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0" w:firstLineChars="200"/>
        <w:jc w:val="left"/>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1.学情分析</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是否有开展教学对象分析，对学生学习本课的原有基础和现有困难是否分析准确。是否有采取教学对策帮助学生克服学习上的困难和心理障碍，能够因材施教，有利于提高学习成效。</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0" w:firstLineChars="200"/>
        <w:jc w:val="left"/>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2.教学方法</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bCs/>
          <w:color w:val="auto"/>
          <w:sz w:val="24"/>
        </w:rPr>
        <w:t>是否有组织开发专业课程标准和教案。是否有根据专业人才培养方案总体要求，制（修）订专业课程标准，明确课程目标，优化课程内容，规范教学过程，及时将新技术、新工艺、新规范纳入课程标准和教学内容。是否有指导教师准确把握课程教学要求，规范编写、严格执行教案，做好课程总体设计，按程序选用教材，合理运用各类教学资源，做好教学组织实施。</w:t>
      </w:r>
      <w:r>
        <w:rPr>
          <w:rFonts w:hint="eastAsia" w:ascii="仿宋" w:hAnsi="仿宋" w:eastAsia="仿宋" w:cs="仿宋"/>
          <w:color w:val="auto"/>
          <w:sz w:val="24"/>
          <w:szCs w:val="24"/>
          <w:lang w:val="en-US" w:eastAsia="zh-CN"/>
        </w:rPr>
        <w:t>教学设计是否科学可行，以产教融合为切入点，以职业能力培养为重点，与行业企业合作进行基于工作过程的课程开发与设计，体现“教、学、做”一体化应用和以学生为中心的教学思想。重视学生在校学习与实际工作的一致性，有针对性地采取工学结合、任务驱动、项目导向、课堂与实习地点一体化等行动导向的教学模式。要特别强调使用适合培养职业技能和职业素养的案例教学法、情境教学法、讨论教学法、自学辅导法等教学方法的改革在激发学生学习兴趣和提高教学效果方面的实效。注重学生可持续发展和创新精神培养充分体现，即职业性、实践性和开放性的要求。是否有体现模块或项目设计的框架思路及内容的详略安排，突出能力培养，突显教学重点的环节设计，课程的重点、难点是否有解决办法、有突破具体步骤；</w:t>
      </w:r>
      <w:r>
        <w:rPr>
          <w:rFonts w:hint="eastAsia" w:ascii="仿宋" w:hAnsi="仿宋" w:eastAsia="仿宋" w:cs="仿宋"/>
          <w:bCs/>
          <w:color w:val="auto"/>
          <w:sz w:val="24"/>
          <w:lang w:val="en-US" w:eastAsia="zh-CN"/>
        </w:rPr>
        <w:t>是否</w:t>
      </w:r>
      <w:r>
        <w:rPr>
          <w:rFonts w:hint="eastAsia" w:ascii="仿宋" w:hAnsi="仿宋" w:eastAsia="仿宋" w:cs="仿宋"/>
          <w:bCs/>
          <w:color w:val="auto"/>
          <w:sz w:val="24"/>
        </w:rPr>
        <w:t>准确把握课程教学要求，规范编写、严格执行教案</w:t>
      </w:r>
      <w:r>
        <w:rPr>
          <w:rFonts w:hint="eastAsia" w:ascii="仿宋" w:hAnsi="仿宋" w:eastAsia="仿宋" w:cs="仿宋"/>
          <w:bCs/>
          <w:color w:val="auto"/>
          <w:sz w:val="24"/>
          <w:lang w:eastAsia="zh-CN"/>
        </w:rPr>
        <w:t>。</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3.教学手段</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是否科学地使用现代教育技术手段和网络教学资源开展教学活动，协调传统教学手段和现代教育技术的应用。 </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4.考核评价</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课程对学生学习效果所采用的考核方式方法及成绩评定办法是否有依据。课程考核是否从知识、技能、素养、课程思政四方面寻找指标。是否有关注学习者的个体差异，采用过程性评价、结果性评价及其组合等多样的考核方式进行。</w:t>
      </w:r>
    </w:p>
    <w:p>
      <w:pPr>
        <w:keepNext w:val="0"/>
        <w:keepLines w:val="0"/>
        <w:pageBreakBefore w:val="0"/>
        <w:widowControl w:val="0"/>
        <w:kinsoku/>
        <w:wordWrap/>
        <w:overflowPunct/>
        <w:topLinePunct w:val="0"/>
        <w:autoSpaceDE/>
        <w:autoSpaceDN/>
        <w:bidi w:val="0"/>
        <w:spacing w:line="308" w:lineRule="auto"/>
        <w:ind w:left="0" w:leftChars="0" w:firstLine="480" w:firstLineChars="200"/>
        <w:jc w:val="both"/>
        <w:textAlignment w:val="auto"/>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5.课程评价</w:t>
      </w:r>
    </w:p>
    <w:p>
      <w:pPr>
        <w:keepNext w:val="0"/>
        <w:keepLines w:val="0"/>
        <w:pageBreakBefore w:val="0"/>
        <w:widowControl w:val="0"/>
        <w:kinsoku/>
        <w:wordWrap/>
        <w:overflowPunct/>
        <w:topLinePunct w:val="0"/>
        <w:autoSpaceDE/>
        <w:autoSpaceDN/>
        <w:bidi w:val="0"/>
        <w:spacing w:line="308" w:lineRule="auto"/>
        <w:ind w:left="0" w:leftChars="0" w:firstLine="480" w:firstLineChars="200"/>
        <w:jc w:val="both"/>
        <w:textAlignment w:val="auto"/>
        <w:rPr>
          <w:rFonts w:hint="default"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是否有开展教师自我评价、学生评教、同行听课评价、督导评价与教学巡查。</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2" w:firstLineChars="200"/>
        <w:jc w:val="left"/>
        <w:textAlignment w:val="auto"/>
        <w:rPr>
          <w:rFonts w:hint="default"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（四）课程实施保障是否充分</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1.教学团队</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课程教学团队的规模是否适度；专任教师和兼职教师比例是否协调；教师双师素质和社会实践能力是否能满足课程教学需要；课程教学团队是否具备较强的职业培训、技能鉴定、技术服务能力；是否制定了课程团队的建设与发展规划；是否具备指导学生进行项目开发和综合实践的能力等。</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2.教学资源</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Cs/>
          <w:color w:val="auto"/>
          <w:sz w:val="24"/>
        </w:rPr>
        <w:t>图书资料、优质教学资源和网络信息资源等是否充分开发利用</w:t>
      </w:r>
      <w:r>
        <w:rPr>
          <w:rFonts w:hint="eastAsia" w:ascii="仿宋" w:hAnsi="仿宋" w:eastAsia="仿宋" w:cs="仿宋"/>
          <w:bCs/>
          <w:color w:val="auto"/>
          <w:sz w:val="24"/>
          <w:lang w:eastAsia="zh-CN"/>
        </w:rPr>
        <w:t>；</w:t>
      </w:r>
      <w:r>
        <w:rPr>
          <w:rFonts w:hint="eastAsia" w:ascii="仿宋" w:hAnsi="仿宋" w:eastAsia="仿宋" w:cs="仿宋"/>
          <w:b w:val="0"/>
          <w:bCs w:val="0"/>
          <w:color w:val="auto"/>
          <w:sz w:val="24"/>
          <w:szCs w:val="24"/>
          <w:lang w:val="en-US" w:eastAsia="zh-CN"/>
        </w:rPr>
        <w:t>课程数字化教学资源建设是否满足专业人才培养的需求；专业教学资源库建设是否满足课程的教学需求（如国家级、省级资源库建设平台等）；是否建设了一批优质的专业课程教学资源（如在线开放课程平台、网络课程平台等），资源使用效率高，并形成了可持续开发、应用机制；是否利用现代信息技术开发了虚拟的、仿真实训教学项目或教学课件；教师开展线上教学、学生在线学习的相关制度是否完善等。</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3.教材建设</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是否建立了建材开发和选用制度；</w:t>
      </w:r>
      <w:r>
        <w:rPr>
          <w:rFonts w:hint="eastAsia" w:ascii="仿宋" w:hAnsi="仿宋" w:eastAsia="仿宋" w:cs="仿宋"/>
          <w:bCs/>
          <w:color w:val="auto"/>
          <w:sz w:val="24"/>
        </w:rPr>
        <w:t>是否注重与行业、企业合作开发课程和教材，选用优秀高职教材</w:t>
      </w:r>
      <w:r>
        <w:rPr>
          <w:rFonts w:hint="eastAsia" w:ascii="仿宋" w:hAnsi="仿宋" w:eastAsia="仿宋" w:cs="仿宋"/>
          <w:b w:val="0"/>
          <w:bCs w:val="0"/>
          <w:color w:val="auto"/>
          <w:sz w:val="24"/>
          <w:szCs w:val="24"/>
          <w:lang w:val="en-US" w:eastAsia="zh-CN"/>
        </w:rPr>
        <w:t>；课程实训教材是否开发完成，是否开发针对学生创新创业能力培养的虚拟、仿真实教学培训案例教程等。</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4.实践教学条件</w:t>
      </w:r>
    </w:p>
    <w:p>
      <w:pPr>
        <w:keepNext w:val="0"/>
        <w:keepLines w:val="0"/>
        <w:pageBreakBefore w:val="0"/>
        <w:widowControl w:val="0"/>
        <w:kinsoku/>
        <w:wordWrap/>
        <w:overflowPunct/>
        <w:topLinePunct w:val="0"/>
        <w:autoSpaceDE/>
        <w:autoSpaceDN/>
        <w:bidi w:val="0"/>
        <w:spacing w:line="308" w:lineRule="auto"/>
        <w:ind w:firstLine="480" w:firstLineChars="200"/>
        <w:textAlignment w:val="auto"/>
        <w:rPr>
          <w:rFonts w:ascii="仿宋" w:hAnsi="仿宋" w:eastAsia="仿宋" w:cs="仿宋"/>
          <w:bCs/>
          <w:color w:val="auto"/>
          <w:sz w:val="24"/>
        </w:rPr>
      </w:pPr>
      <w:r>
        <w:rPr>
          <w:rFonts w:hint="eastAsia" w:ascii="仿宋" w:hAnsi="仿宋" w:eastAsia="仿宋" w:cs="仿宋"/>
          <w:b w:val="0"/>
          <w:bCs w:val="0"/>
          <w:color w:val="auto"/>
          <w:sz w:val="24"/>
          <w:szCs w:val="24"/>
          <w:lang w:val="en-US" w:eastAsia="zh-CN"/>
        </w:rPr>
        <w:t>校内与课程相关实训室的管理是否规范，是否有较高的使用效率；实训室数量、设备配置等是否满足课程的教学、生产、科研和社会服务的需求；是否与企业共建了针对课程实训的校外实习实训基地，</w:t>
      </w:r>
      <w:r>
        <w:rPr>
          <w:rFonts w:hint="eastAsia" w:ascii="仿宋" w:hAnsi="仿宋" w:eastAsia="仿宋" w:cs="仿宋"/>
          <w:bCs/>
          <w:color w:val="auto"/>
          <w:sz w:val="24"/>
        </w:rPr>
        <w:t>运行状态良好、保障机制完善</w:t>
      </w:r>
      <w:r>
        <w:rPr>
          <w:rFonts w:hint="eastAsia" w:ascii="仿宋" w:hAnsi="仿宋" w:eastAsia="仿宋" w:cs="仿宋"/>
          <w:b w:val="0"/>
          <w:bCs w:val="0"/>
          <w:color w:val="auto"/>
          <w:sz w:val="24"/>
          <w:szCs w:val="24"/>
          <w:lang w:val="en-US" w:eastAsia="zh-CN"/>
        </w:rPr>
        <w:t>；是否提供了与课程相关的创新创业教育平台等。</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2" w:firstLineChars="200"/>
        <w:jc w:val="left"/>
        <w:textAlignment w:val="auto"/>
        <w:rPr>
          <w:rFonts w:hint="eastAsia"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（五）课程建设成效是否显现</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1.实践教学成效</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bCs/>
          <w:color w:val="auto"/>
          <w:sz w:val="24"/>
        </w:rPr>
      </w:pPr>
      <w:r>
        <w:rPr>
          <w:rFonts w:hint="eastAsia" w:ascii="仿宋" w:hAnsi="仿宋" w:eastAsia="仿宋" w:cs="仿宋"/>
          <w:bCs/>
          <w:color w:val="auto"/>
          <w:sz w:val="24"/>
        </w:rPr>
        <w:t>是否能根据职业能力培养的需要设计实践教学体系，</w:t>
      </w:r>
      <w:r>
        <w:rPr>
          <w:rFonts w:hint="eastAsia" w:ascii="仿宋" w:hAnsi="仿宋" w:eastAsia="仿宋" w:cs="仿宋"/>
          <w:b w:val="0"/>
          <w:bCs w:val="0"/>
          <w:color w:val="auto"/>
          <w:sz w:val="24"/>
          <w:szCs w:val="24"/>
          <w:lang w:val="en-US" w:eastAsia="zh-CN"/>
        </w:rPr>
        <w:t>是否体现“岗课赛证，四位一体”；</w:t>
      </w:r>
      <w:r>
        <w:rPr>
          <w:rFonts w:hint="eastAsia" w:ascii="仿宋" w:hAnsi="仿宋" w:eastAsia="仿宋" w:cs="仿宋"/>
          <w:bCs/>
          <w:color w:val="auto"/>
          <w:sz w:val="24"/>
        </w:rPr>
        <w:t>以真实的工作任务为载体设计实践教学项目与内容；生产性实训与顶岗实习安排合理、有效，有一线企业兼职教师参与教学、指导与考核。实践教学文件齐全。</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2.课程改革成效</w:t>
      </w:r>
    </w:p>
    <w:p>
      <w:pPr>
        <w:keepNext w:val="0"/>
        <w:keepLines w:val="0"/>
        <w:pageBreakBefore w:val="0"/>
        <w:widowControl w:val="0"/>
        <w:kinsoku/>
        <w:wordWrap/>
        <w:overflowPunct/>
        <w:topLinePunct w:val="0"/>
        <w:autoSpaceDE/>
        <w:autoSpaceDN/>
        <w:bidi w:val="0"/>
        <w:spacing w:line="308" w:lineRule="auto"/>
        <w:ind w:firstLine="480" w:firstLineChars="200"/>
        <w:textAlignment w:val="auto"/>
        <w:rPr>
          <w:rFonts w:ascii="仿宋" w:hAnsi="仿宋" w:eastAsia="仿宋" w:cs="仿宋"/>
          <w:bCs/>
          <w:color w:val="auto"/>
          <w:sz w:val="24"/>
        </w:rPr>
      </w:pPr>
      <w:r>
        <w:rPr>
          <w:rFonts w:hint="eastAsia" w:ascii="仿宋" w:hAnsi="仿宋" w:eastAsia="仿宋" w:cs="仿宋"/>
          <w:bCs/>
          <w:color w:val="auto"/>
          <w:sz w:val="24"/>
        </w:rPr>
        <w:t>是否深化教师、教材、教法改革。建设符合项目式、模块化教学需要的教学创新团队，不断优化教师能力结构。健全教材选用制度，选用体现新技术、新工艺、新规范等的高质量教材，引入典型生产案例。总结推广现代学徒制试点经验，普及项目教学、案例教学、情境教学、模块化教学等教学方式，广泛运用启发式、探究式、讨论式、参与式等教学方法，推广翻转课堂、混合式教学、理实一体教学等新型教学模式，推动课堂教学革命。加强课堂教学管理，规范教学秩序，打造优质课堂。</w:t>
      </w:r>
    </w:p>
    <w:p>
      <w:pPr>
        <w:keepNext w:val="0"/>
        <w:keepLines w:val="0"/>
        <w:pageBreakBefore w:val="0"/>
        <w:widowControl w:val="0"/>
        <w:kinsoku/>
        <w:wordWrap/>
        <w:overflowPunct/>
        <w:topLinePunct w:val="0"/>
        <w:autoSpaceDE/>
        <w:autoSpaceDN/>
        <w:bidi w:val="0"/>
        <w:spacing w:line="308" w:lineRule="auto"/>
        <w:ind w:left="0" w:leftChars="0" w:firstLine="480" w:firstLineChars="200"/>
        <w:jc w:val="both"/>
        <w:textAlignment w:val="auto"/>
        <w:rPr>
          <w:rFonts w:hint="eastAsia" w:ascii="仿宋" w:hAnsi="仿宋" w:eastAsia="仿宋" w:cs="仿宋"/>
          <w:b w:val="0"/>
          <w:bCs w:val="0"/>
          <w:color w:val="auto"/>
          <w:kern w:val="0"/>
          <w:sz w:val="24"/>
          <w:szCs w:val="24"/>
          <w:lang w:val="en-US" w:eastAsia="zh-CN" w:bidi="ar-SA"/>
        </w:rPr>
      </w:pPr>
      <w:r>
        <w:rPr>
          <w:rFonts w:hint="eastAsia" w:ascii="仿宋" w:hAnsi="仿宋" w:eastAsia="仿宋" w:cs="仿宋"/>
          <w:b w:val="0"/>
          <w:bCs w:val="0"/>
          <w:color w:val="auto"/>
          <w:kern w:val="0"/>
          <w:sz w:val="24"/>
          <w:szCs w:val="24"/>
          <w:lang w:val="en-US" w:eastAsia="zh-CN" w:bidi="ar-SA"/>
        </w:rPr>
        <w:t>3.课程应用成效</w:t>
      </w:r>
    </w:p>
    <w:p>
      <w:pPr>
        <w:keepNext w:val="0"/>
        <w:keepLines w:val="0"/>
        <w:pageBreakBefore w:val="0"/>
        <w:widowControl w:val="0"/>
        <w:kinsoku/>
        <w:wordWrap/>
        <w:overflowPunct/>
        <w:topLinePunct w:val="0"/>
        <w:autoSpaceDE/>
        <w:autoSpaceDN/>
        <w:bidi w:val="0"/>
        <w:spacing w:line="308" w:lineRule="auto"/>
        <w:ind w:left="0" w:leftChars="0" w:firstLine="480" w:firstLineChars="200"/>
        <w:jc w:val="both"/>
        <w:textAlignment w:val="auto"/>
        <w:rPr>
          <w:rFonts w:hint="eastAsia" w:ascii="仿宋" w:hAnsi="仿宋" w:eastAsia="仿宋" w:cs="仿宋"/>
          <w:b w:val="0"/>
          <w:bCs w:val="0"/>
          <w:color w:val="auto"/>
          <w:kern w:val="0"/>
          <w:sz w:val="24"/>
          <w:szCs w:val="24"/>
          <w:lang w:val="en-US" w:eastAsia="zh-CN" w:bidi="ar-SA"/>
        </w:rPr>
      </w:pPr>
      <w:r>
        <w:rPr>
          <w:rFonts w:hint="eastAsia" w:ascii="仿宋" w:hAnsi="仿宋" w:eastAsia="仿宋" w:cs="仿宋"/>
          <w:b w:val="0"/>
          <w:bCs w:val="0"/>
          <w:color w:val="auto"/>
          <w:kern w:val="0"/>
          <w:sz w:val="24"/>
          <w:szCs w:val="24"/>
          <w:lang w:val="en-US" w:eastAsia="zh-CN" w:bidi="ar-SA"/>
        </w:rPr>
        <w:t>是否有被</w:t>
      </w:r>
      <w:r>
        <w:rPr>
          <w:rFonts w:hint="eastAsia" w:ascii="仿宋" w:hAnsi="仿宋" w:eastAsia="仿宋" w:cs="宋体"/>
          <w:color w:val="000000"/>
          <w:kern w:val="0"/>
          <w:sz w:val="22"/>
          <w:szCs w:val="20"/>
          <w:lang w:val="en-US" w:eastAsia="zh-CN" w:bidi="ar-SA"/>
        </w:rPr>
        <w:t>国（境）内外学校、科研机构、企业等组织采用。</w:t>
      </w:r>
    </w:p>
    <w:p>
      <w:pPr>
        <w:keepNext w:val="0"/>
        <w:keepLines w:val="0"/>
        <w:pageBreakBefore w:val="0"/>
        <w:widowControl w:val="0"/>
        <w:tabs>
          <w:tab w:val="left" w:pos="1050"/>
        </w:tabs>
        <w:kinsoku/>
        <w:wordWrap/>
        <w:overflowPunct/>
        <w:topLinePunct w:val="0"/>
        <w:autoSpaceDE/>
        <w:autoSpaceDN/>
        <w:bidi w:val="0"/>
        <w:adjustRightInd/>
        <w:snapToGrid/>
        <w:spacing w:line="308" w:lineRule="auto"/>
        <w:ind w:firstLine="482" w:firstLineChars="200"/>
        <w:jc w:val="left"/>
        <w:textAlignment w:val="auto"/>
        <w:rPr>
          <w:rFonts w:hint="eastAsia"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（六）课程建设特色是否形成</w:t>
      </w:r>
    </w:p>
    <w:p>
      <w:pPr>
        <w:keepNext w:val="0"/>
        <w:keepLines w:val="0"/>
        <w:pageBreakBefore w:val="0"/>
        <w:widowControl w:val="0"/>
        <w:kinsoku/>
        <w:wordWrap/>
        <w:overflowPunct/>
        <w:topLinePunct w:val="0"/>
        <w:autoSpaceDE/>
        <w:autoSpaceDN/>
        <w:bidi w:val="0"/>
        <w:spacing w:line="308" w:lineRule="auto"/>
        <w:ind w:left="0" w:leftChars="0" w:firstLine="480" w:firstLineChars="200"/>
        <w:jc w:val="both"/>
        <w:textAlignment w:val="auto"/>
        <w:rPr>
          <w:rFonts w:hint="eastAsia" w:ascii="仿宋" w:hAnsi="仿宋" w:eastAsia="仿宋" w:cs="仿宋"/>
          <w:b/>
          <w:kern w:val="0"/>
          <w:sz w:val="24"/>
          <w:szCs w:val="20"/>
          <w:lang w:val="en-US" w:eastAsia="zh-CN" w:bidi="ar-SA"/>
        </w:rPr>
      </w:pPr>
      <w:r>
        <w:rPr>
          <w:rFonts w:hint="eastAsia" w:ascii="仿宋" w:hAnsi="仿宋" w:eastAsia="仿宋" w:cs="仿宋"/>
          <w:color w:val="auto"/>
          <w:kern w:val="0"/>
          <w:sz w:val="24"/>
          <w:szCs w:val="24"/>
          <w:lang w:val="en-US" w:eastAsia="zh-CN" w:bidi="ar-SA"/>
        </w:rPr>
        <w:t>课程建设是否有亮点；课程特色是否形成等。</w:t>
      </w:r>
    </w:p>
    <w:p>
      <w:pPr>
        <w:keepNext w:val="0"/>
        <w:keepLines w:val="0"/>
        <w:pageBreakBefore w:val="0"/>
        <w:widowControl w:val="0"/>
        <w:kinsoku/>
        <w:wordWrap/>
        <w:overflowPunct/>
        <w:topLinePunct w:val="0"/>
        <w:autoSpaceDE/>
        <w:autoSpaceDN/>
        <w:bidi w:val="0"/>
        <w:adjustRightInd w:val="0"/>
        <w:snapToGrid w:val="0"/>
        <w:spacing w:line="308" w:lineRule="auto"/>
        <w:ind w:right="105" w:rightChars="50" w:firstLine="482" w:firstLineChars="200"/>
        <w:textAlignment w:val="auto"/>
        <w:rPr>
          <w:rFonts w:ascii="仿宋" w:hAnsi="仿宋" w:eastAsia="仿宋" w:cs="仿宋"/>
          <w:bCs/>
          <w:sz w:val="24"/>
        </w:rPr>
      </w:pPr>
      <w:r>
        <w:rPr>
          <w:rFonts w:hint="eastAsia" w:ascii="黑体" w:hAnsi="黑体" w:eastAsia="黑体" w:cs="黑体"/>
          <w:b/>
          <w:sz w:val="24"/>
        </w:rPr>
        <w:t>二、</w:t>
      </w:r>
      <w:r>
        <w:rPr>
          <w:rFonts w:hint="eastAsia" w:ascii="黑体" w:hAnsi="黑体" w:eastAsia="黑体" w:cs="黑体"/>
          <w:b/>
          <w:sz w:val="24"/>
          <w:lang w:val="en-US" w:eastAsia="zh-CN"/>
        </w:rPr>
        <w:t>课程</w:t>
      </w:r>
      <w:r>
        <w:rPr>
          <w:rFonts w:hint="eastAsia" w:ascii="黑体" w:hAnsi="黑体" w:eastAsia="黑体" w:cs="黑体"/>
          <w:b/>
          <w:sz w:val="24"/>
        </w:rPr>
        <w:t>建设内部质量保证体系框架设计</w:t>
      </w:r>
    </w:p>
    <w:p>
      <w:pPr>
        <w:keepNext w:val="0"/>
        <w:keepLines w:val="0"/>
        <w:pageBreakBefore w:val="0"/>
        <w:widowControl w:val="0"/>
        <w:kinsoku/>
        <w:wordWrap/>
        <w:overflowPunct/>
        <w:topLinePunct w:val="0"/>
        <w:autoSpaceDE/>
        <w:autoSpaceDN/>
        <w:bidi w:val="0"/>
        <w:adjustRightInd w:val="0"/>
        <w:snapToGrid w:val="0"/>
        <w:spacing w:line="308" w:lineRule="auto"/>
        <w:ind w:right="105" w:rightChars="50" w:firstLine="480" w:firstLineChars="200"/>
        <w:textAlignment w:val="auto"/>
        <w:rPr>
          <w:rFonts w:hint="eastAsia" w:ascii="仿宋" w:hAnsi="仿宋" w:eastAsia="仿宋" w:cs="仿宋"/>
          <w:bCs/>
          <w:sz w:val="24"/>
        </w:rPr>
      </w:pPr>
      <w:r>
        <w:rPr>
          <w:rFonts w:hint="eastAsia" w:ascii="仿宋" w:hAnsi="仿宋" w:eastAsia="仿宋" w:cs="仿宋"/>
          <w:bCs/>
          <w:sz w:val="24"/>
          <w:lang w:val="en-US" w:eastAsia="zh-CN"/>
        </w:rPr>
        <w:t>课程</w:t>
      </w:r>
      <w:r>
        <w:rPr>
          <w:rFonts w:hint="eastAsia" w:ascii="仿宋" w:hAnsi="仿宋" w:eastAsia="仿宋" w:cs="仿宋"/>
          <w:bCs/>
          <w:sz w:val="24"/>
        </w:rPr>
        <w:t>建设内部质量保证体系建立思路为基于学校体系框架，以</w:t>
      </w:r>
      <w:r>
        <w:rPr>
          <w:rFonts w:hint="eastAsia" w:ascii="仿宋" w:hAnsi="仿宋" w:eastAsia="仿宋" w:cs="仿宋"/>
          <w:bCs/>
          <w:sz w:val="24"/>
          <w:lang w:val="en-US" w:eastAsia="zh-CN"/>
        </w:rPr>
        <w:t>课程</w:t>
      </w:r>
      <w:r>
        <w:rPr>
          <w:rFonts w:hint="eastAsia" w:ascii="仿宋" w:hAnsi="仿宋" w:eastAsia="仿宋" w:cs="仿宋"/>
          <w:bCs/>
          <w:sz w:val="24"/>
        </w:rPr>
        <w:t>建设为统领，以人才培养为主线，引入标准，设计内部质保体系，具体如下图所示。</w:t>
      </w:r>
    </w:p>
    <w:p>
      <w:pPr>
        <w:widowControl w:val="0"/>
        <w:ind w:firstLine="200" w:firstLineChars="100"/>
        <w:jc w:val="both"/>
        <w:rPr>
          <w:rFonts w:hint="eastAsia" w:ascii="Calibri" w:hAnsi="Calibri" w:eastAsia="宋体" w:cs="宋体"/>
          <w:kern w:val="0"/>
          <w:sz w:val="20"/>
          <w:szCs w:val="20"/>
          <w:lang w:val="en-US" w:eastAsia="zh-CN" w:bidi="ar-SA"/>
        </w:rPr>
      </w:pPr>
      <w:r>
        <w:rPr>
          <w:rFonts w:hint="eastAsia" w:ascii="Calibri" w:hAnsi="Calibri" w:eastAsia="宋体" w:cs="宋体"/>
          <w:kern w:val="0"/>
          <w:sz w:val="20"/>
          <w:szCs w:val="20"/>
          <w:lang w:val="en-US" w:eastAsia="zh-CN" w:bidi="ar-SA"/>
        </w:rPr>
        <w:drawing>
          <wp:inline distT="0" distB="0" distL="114300" distR="114300">
            <wp:extent cx="5975985" cy="8140065"/>
            <wp:effectExtent l="0" t="0" r="5715" b="13335"/>
            <wp:docPr id="18" name="图片 18" descr="课程层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课程层面"/>
                    <pic:cNvPicPr>
                      <a:picLocks noChangeAspect="1"/>
                    </pic:cNvPicPr>
                  </pic:nvPicPr>
                  <pic:blipFill>
                    <a:blip r:embed="rId6"/>
                    <a:stretch>
                      <a:fillRect/>
                    </a:stretch>
                  </pic:blipFill>
                  <pic:spPr>
                    <a:xfrm>
                      <a:off x="0" y="0"/>
                      <a:ext cx="5975985" cy="8140065"/>
                    </a:xfrm>
                    <a:prstGeom prst="rect">
                      <a:avLst/>
                    </a:prstGeom>
                  </pic:spPr>
                </pic:pic>
              </a:graphicData>
            </a:graphic>
          </wp:inline>
        </w:drawing>
      </w:r>
    </w:p>
    <w:p>
      <w:pPr>
        <w:rPr>
          <w:rFonts w:ascii="仿宋" w:hAnsi="仿宋" w:eastAsia="仿宋" w:cs="仿宋"/>
          <w:bCs/>
          <w:sz w:val="24"/>
        </w:rPr>
      </w:pPr>
      <w:r>
        <w:rPr>
          <w:rFonts w:hint="eastAsia" w:ascii="仿宋" w:hAnsi="仿宋" w:eastAsia="仿宋" w:cs="仿宋"/>
          <w:bCs/>
          <w:sz w:val="24"/>
        </w:rPr>
        <w:br w:type="page"/>
      </w:r>
    </w:p>
    <w:p>
      <w:pPr>
        <w:adjustRightInd w:val="0"/>
        <w:snapToGrid w:val="0"/>
        <w:spacing w:line="308" w:lineRule="auto"/>
        <w:ind w:right="105" w:rightChars="50" w:firstLine="482" w:firstLineChars="200"/>
        <w:rPr>
          <w:rFonts w:hint="eastAsia" w:ascii="黑体" w:hAnsi="黑体" w:eastAsia="黑体" w:cs="黑体"/>
          <w:b/>
          <w:sz w:val="24"/>
        </w:rPr>
      </w:pPr>
      <w:r>
        <w:rPr>
          <w:rFonts w:hint="eastAsia" w:ascii="黑体" w:hAnsi="黑体" w:eastAsia="黑体" w:cs="黑体"/>
          <w:b/>
          <w:sz w:val="24"/>
        </w:rPr>
        <w:t>三、两链构建和质量改进螺旋设计</w:t>
      </w:r>
    </w:p>
    <w:p>
      <w:pPr>
        <w:adjustRightInd w:val="0"/>
        <w:snapToGrid w:val="0"/>
        <w:spacing w:line="308" w:lineRule="auto"/>
        <w:ind w:right="105" w:rightChars="50" w:firstLine="482" w:firstLineChars="200"/>
        <w:rPr>
          <w:rFonts w:hint="eastAsia" w:ascii="楷体" w:hAnsi="楷体" w:eastAsia="楷体" w:cs="楷体"/>
          <w:bCs/>
          <w:sz w:val="24"/>
        </w:rPr>
      </w:pPr>
      <w:r>
        <w:rPr>
          <w:rFonts w:hint="eastAsia" w:ascii="楷体" w:hAnsi="楷体" w:eastAsia="楷体" w:cs="楷体"/>
          <w:b/>
          <w:sz w:val="24"/>
        </w:rPr>
        <w:t>（一）目标链构建</w:t>
      </w:r>
    </w:p>
    <w:p>
      <w:pPr>
        <w:adjustRightInd w:val="0"/>
        <w:snapToGrid w:val="0"/>
        <w:spacing w:line="308" w:lineRule="auto"/>
        <w:ind w:right="105" w:rightChars="50" w:firstLine="480" w:firstLineChars="200"/>
        <w:rPr>
          <w:rFonts w:ascii="仿宋" w:hAnsi="仿宋" w:eastAsia="仿宋" w:cs="仿宋"/>
          <w:bCs/>
          <w:sz w:val="24"/>
        </w:rPr>
      </w:pPr>
      <w:r>
        <w:rPr>
          <w:rFonts w:hint="eastAsia" w:ascii="仿宋" w:hAnsi="仿宋" w:eastAsia="仿宋" w:cs="仿宋"/>
          <w:bCs/>
          <w:sz w:val="24"/>
        </w:rPr>
        <w:t>此目标链构成为该</w:t>
      </w:r>
      <w:r>
        <w:rPr>
          <w:rFonts w:hint="eastAsia" w:ascii="仿宋" w:hAnsi="仿宋" w:eastAsia="仿宋" w:cs="仿宋"/>
          <w:bCs/>
          <w:sz w:val="24"/>
          <w:lang w:val="en-US" w:eastAsia="zh-CN"/>
        </w:rPr>
        <w:t>课程</w:t>
      </w:r>
      <w:r>
        <w:rPr>
          <w:rFonts w:hint="eastAsia" w:ascii="仿宋" w:hAnsi="仿宋" w:eastAsia="仿宋" w:cs="仿宋"/>
          <w:bCs/>
          <w:sz w:val="24"/>
        </w:rPr>
        <w:t>本轮诊改的总目标以及分解到</w:t>
      </w:r>
      <w:r>
        <w:rPr>
          <w:rFonts w:hint="eastAsia" w:ascii="仿宋" w:hAnsi="仿宋" w:eastAsia="仿宋" w:cs="仿宋"/>
          <w:bCs/>
          <w:sz w:val="24"/>
          <w:lang w:val="en-US" w:eastAsia="zh-CN"/>
        </w:rPr>
        <w:t>课程</w:t>
      </w:r>
      <w:r>
        <w:rPr>
          <w:rFonts w:hint="eastAsia" w:ascii="仿宋" w:hAnsi="仿宋" w:eastAsia="仿宋" w:cs="仿宋"/>
          <w:bCs/>
          <w:sz w:val="24"/>
        </w:rPr>
        <w:t>建设各核心要素的具体目标，具体如下表所示。</w:t>
      </w:r>
    </w:p>
    <w:p>
      <w:pPr>
        <w:adjustRightInd w:val="0"/>
        <w:snapToGrid w:val="0"/>
        <w:spacing w:before="156" w:beforeLines="50" w:line="308" w:lineRule="auto"/>
        <w:jc w:val="center"/>
        <w:rPr>
          <w:rFonts w:ascii="仿宋" w:hAnsi="仿宋" w:eastAsia="仿宋" w:cs="仿宋"/>
          <w:bCs/>
          <w:kern w:val="0"/>
          <w:sz w:val="24"/>
        </w:rPr>
      </w:pPr>
      <w:r>
        <w:rPr>
          <w:rFonts w:hint="eastAsia" w:ascii="仿宋" w:hAnsi="仿宋" w:eastAsia="仿宋" w:cs="仿宋"/>
          <w:b/>
          <w:sz w:val="24"/>
          <w:lang w:val="en-US" w:eastAsia="zh-CN"/>
        </w:rPr>
        <w:t>课程</w:t>
      </w:r>
      <w:r>
        <w:rPr>
          <w:rFonts w:hint="eastAsia" w:ascii="仿宋" w:hAnsi="仿宋" w:eastAsia="仿宋" w:cs="仿宋"/>
          <w:b/>
          <w:sz w:val="24"/>
        </w:rPr>
        <w:t>建设目标链</w:t>
      </w:r>
    </w:p>
    <w:tbl>
      <w:tblPr>
        <w:tblStyle w:val="9"/>
        <w:tblW w:w="9633" w:type="dxa"/>
        <w:jc w:val="center"/>
        <w:tblLayout w:type="autofit"/>
        <w:tblCellMar>
          <w:top w:w="0" w:type="dxa"/>
          <w:left w:w="108" w:type="dxa"/>
          <w:bottom w:w="0" w:type="dxa"/>
          <w:right w:w="108" w:type="dxa"/>
        </w:tblCellMar>
      </w:tblPr>
      <w:tblGrid>
        <w:gridCol w:w="745"/>
        <w:gridCol w:w="820"/>
        <w:gridCol w:w="8068"/>
      </w:tblGrid>
      <w:tr>
        <w:tblPrEx>
          <w:tblCellMar>
            <w:top w:w="0" w:type="dxa"/>
            <w:left w:w="108" w:type="dxa"/>
            <w:bottom w:w="0" w:type="dxa"/>
            <w:right w:w="108" w:type="dxa"/>
          </w:tblCellMar>
        </w:tblPrEx>
        <w:trPr>
          <w:trHeight w:val="90" w:hRule="atLeast"/>
          <w:jc w:val="center"/>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b/>
                <w:bCs/>
                <w:color w:val="000000"/>
                <w:kern w:val="0"/>
                <w:sz w:val="22"/>
                <w:szCs w:val="22"/>
              </w:rPr>
            </w:pPr>
            <w:r>
              <w:rPr>
                <w:rFonts w:hint="eastAsia" w:ascii="仿宋" w:hAnsi="仿宋" w:eastAsia="仿宋" w:cs="仿宋"/>
                <w:b/>
                <w:bCs/>
                <w:color w:val="000000"/>
                <w:kern w:val="0"/>
                <w:sz w:val="22"/>
                <w:szCs w:val="22"/>
              </w:rPr>
              <w:t>关键</w:t>
            </w:r>
          </w:p>
          <w:p>
            <w:pPr>
              <w:widowControl/>
              <w:spacing w:line="308" w:lineRule="auto"/>
              <w:jc w:val="center"/>
              <w:textAlignment w:val="center"/>
              <w:rPr>
                <w:rFonts w:ascii="仿宋" w:hAnsi="仿宋" w:eastAsia="仿宋" w:cs="仿宋"/>
                <w:b/>
                <w:bCs/>
                <w:color w:val="000000"/>
                <w:kern w:val="0"/>
                <w:sz w:val="22"/>
                <w:szCs w:val="22"/>
              </w:rPr>
            </w:pPr>
            <w:r>
              <w:rPr>
                <w:rFonts w:hint="eastAsia" w:ascii="仿宋" w:hAnsi="仿宋" w:eastAsia="仿宋" w:cs="仿宋"/>
                <w:b/>
                <w:bCs/>
                <w:color w:val="000000"/>
                <w:kern w:val="0"/>
                <w:sz w:val="22"/>
                <w:szCs w:val="22"/>
              </w:rPr>
              <w:t>建设</w:t>
            </w:r>
          </w:p>
          <w:p>
            <w:pPr>
              <w:widowControl/>
              <w:spacing w:line="308" w:lineRule="auto"/>
              <w:jc w:val="center"/>
              <w:textAlignment w:val="center"/>
              <w:rPr>
                <w:rFonts w:ascii="仿宋" w:hAnsi="仿宋" w:eastAsia="仿宋" w:cs="仿宋"/>
                <w:b/>
                <w:bCs/>
                <w:color w:val="000000"/>
                <w:sz w:val="22"/>
                <w:szCs w:val="22"/>
              </w:rPr>
            </w:pPr>
            <w:r>
              <w:rPr>
                <w:rFonts w:hint="eastAsia" w:ascii="仿宋" w:hAnsi="仿宋" w:eastAsia="仿宋" w:cs="仿宋"/>
                <w:b/>
                <w:bCs/>
                <w:color w:val="000000"/>
                <w:kern w:val="0"/>
                <w:sz w:val="22"/>
                <w:szCs w:val="22"/>
              </w:rPr>
              <w:t>要素</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b/>
                <w:bCs/>
                <w:color w:val="000000"/>
                <w:kern w:val="0"/>
                <w:sz w:val="22"/>
                <w:szCs w:val="22"/>
              </w:rPr>
            </w:pPr>
            <w:r>
              <w:rPr>
                <w:rFonts w:hint="eastAsia" w:ascii="仿宋" w:hAnsi="仿宋" w:eastAsia="仿宋" w:cs="仿宋"/>
                <w:b/>
                <w:bCs/>
                <w:color w:val="000000"/>
                <w:kern w:val="0"/>
                <w:sz w:val="22"/>
                <w:szCs w:val="22"/>
              </w:rPr>
              <w:t>重点</w:t>
            </w:r>
          </w:p>
          <w:p>
            <w:pPr>
              <w:widowControl/>
              <w:spacing w:line="308" w:lineRule="auto"/>
              <w:jc w:val="center"/>
              <w:textAlignment w:val="center"/>
              <w:rPr>
                <w:rFonts w:ascii="仿宋" w:hAnsi="仿宋" w:eastAsia="仿宋" w:cs="仿宋"/>
                <w:b/>
                <w:bCs/>
                <w:color w:val="000000"/>
                <w:kern w:val="0"/>
                <w:sz w:val="22"/>
                <w:szCs w:val="22"/>
              </w:rPr>
            </w:pPr>
            <w:r>
              <w:rPr>
                <w:rFonts w:hint="eastAsia" w:ascii="仿宋" w:hAnsi="仿宋" w:eastAsia="仿宋" w:cs="仿宋"/>
                <w:b/>
                <w:bCs/>
                <w:color w:val="000000"/>
                <w:kern w:val="0"/>
                <w:sz w:val="22"/>
                <w:szCs w:val="22"/>
              </w:rPr>
              <w:t>建设</w:t>
            </w:r>
          </w:p>
          <w:p>
            <w:pPr>
              <w:widowControl/>
              <w:spacing w:line="308" w:lineRule="auto"/>
              <w:jc w:val="center"/>
              <w:textAlignment w:val="center"/>
              <w:rPr>
                <w:rFonts w:ascii="仿宋" w:hAnsi="仿宋" w:eastAsia="仿宋" w:cs="仿宋"/>
                <w:b/>
                <w:bCs/>
                <w:color w:val="000000"/>
                <w:sz w:val="22"/>
                <w:szCs w:val="22"/>
              </w:rPr>
            </w:pPr>
            <w:r>
              <w:rPr>
                <w:rFonts w:hint="eastAsia" w:ascii="仿宋" w:hAnsi="仿宋" w:eastAsia="仿宋" w:cs="仿宋"/>
                <w:b/>
                <w:bCs/>
                <w:color w:val="000000"/>
                <w:kern w:val="0"/>
                <w:sz w:val="22"/>
                <w:szCs w:val="22"/>
              </w:rPr>
              <w:t>内容</w:t>
            </w:r>
          </w:p>
        </w:tc>
        <w:tc>
          <w:tcPr>
            <w:tcW w:w="8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b/>
                <w:bCs/>
                <w:color w:val="000000"/>
                <w:kern w:val="0"/>
                <w:sz w:val="22"/>
                <w:szCs w:val="22"/>
              </w:rPr>
            </w:pPr>
            <w:r>
              <w:rPr>
                <w:rFonts w:hint="eastAsia" w:ascii="仿宋" w:hAnsi="仿宋" w:eastAsia="仿宋" w:cs="仿宋"/>
                <w:b/>
                <w:bCs/>
                <w:color w:val="000000"/>
                <w:kern w:val="0"/>
                <w:sz w:val="22"/>
                <w:szCs w:val="22"/>
              </w:rPr>
              <w:t>建设</w:t>
            </w:r>
          </w:p>
          <w:p>
            <w:pPr>
              <w:widowControl/>
              <w:spacing w:line="308" w:lineRule="auto"/>
              <w:jc w:val="center"/>
              <w:textAlignment w:val="center"/>
              <w:rPr>
                <w:rFonts w:ascii="仿宋" w:hAnsi="仿宋" w:eastAsia="仿宋" w:cs="仿宋"/>
                <w:b/>
                <w:bCs/>
                <w:color w:val="000000"/>
                <w:sz w:val="22"/>
                <w:szCs w:val="22"/>
              </w:rPr>
            </w:pPr>
            <w:r>
              <w:rPr>
                <w:rFonts w:hint="eastAsia" w:ascii="仿宋" w:hAnsi="仿宋" w:eastAsia="仿宋" w:cs="仿宋"/>
                <w:b/>
                <w:bCs/>
                <w:color w:val="000000"/>
                <w:kern w:val="0"/>
                <w:sz w:val="22"/>
                <w:szCs w:val="22"/>
              </w:rPr>
              <w:t>目标</w:t>
            </w:r>
          </w:p>
        </w:tc>
      </w:tr>
      <w:tr>
        <w:tblPrEx>
          <w:tblCellMar>
            <w:top w:w="0" w:type="dxa"/>
            <w:left w:w="108" w:type="dxa"/>
            <w:bottom w:w="0" w:type="dxa"/>
            <w:right w:w="108" w:type="dxa"/>
          </w:tblCellMar>
        </w:tblPrEx>
        <w:trPr>
          <w:trHeight w:val="90" w:hRule="atLeast"/>
          <w:jc w:val="center"/>
        </w:trPr>
        <w:tc>
          <w:tcPr>
            <w:tcW w:w="7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sz w:val="22"/>
                <w:szCs w:val="22"/>
              </w:rPr>
              <w:t>课程定位</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sz w:val="22"/>
                <w:szCs w:val="22"/>
              </w:rPr>
              <w:t>课程定位</w:t>
            </w:r>
          </w:p>
        </w:tc>
        <w:tc>
          <w:tcPr>
            <w:tcW w:w="8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sz w:val="22"/>
                <w:szCs w:val="22"/>
              </w:rPr>
              <w:t>课程在专业人才培养目标及在课程体系中的定位准确，其性质与任务是否全面贯彻党的教育方针，落实立德树人根本任务，为学生职业发展、终身学习和服务社会奠定基础；课程对学生综合职业能力培养方面起到主要支撑作用；课程与前、后续课程衔接的关系得当。</w:t>
            </w:r>
          </w:p>
        </w:tc>
      </w:tr>
      <w:tr>
        <w:tblPrEx>
          <w:tblCellMar>
            <w:top w:w="0" w:type="dxa"/>
            <w:left w:w="108" w:type="dxa"/>
            <w:bottom w:w="0" w:type="dxa"/>
            <w:right w:w="108" w:type="dxa"/>
          </w:tblCellMar>
        </w:tblPrEx>
        <w:trPr>
          <w:trHeight w:val="90" w:hRule="atLeast"/>
          <w:jc w:val="center"/>
        </w:trPr>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center"/>
              <w:rPr>
                <w:rFonts w:ascii="仿宋" w:hAnsi="仿宋" w:eastAsia="仿宋" w:cs="仿宋"/>
                <w:color w:val="000000"/>
                <w:sz w:val="22"/>
                <w:szCs w:val="22"/>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sz w:val="22"/>
                <w:szCs w:val="22"/>
              </w:rPr>
              <w:t>课程目标</w:t>
            </w:r>
          </w:p>
        </w:tc>
        <w:tc>
          <w:tcPr>
            <w:tcW w:w="8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sz w:val="22"/>
                <w:szCs w:val="22"/>
              </w:rPr>
              <w:t>课程的教学目标准确可测量，既通过本门课程，培养学生知识方面、能力上、职业素养上以及课程思政上达到目标。</w:t>
            </w:r>
          </w:p>
        </w:tc>
      </w:tr>
      <w:tr>
        <w:tblPrEx>
          <w:tblCellMar>
            <w:top w:w="0" w:type="dxa"/>
            <w:left w:w="108" w:type="dxa"/>
            <w:bottom w:w="0" w:type="dxa"/>
            <w:right w:w="108" w:type="dxa"/>
          </w:tblCellMar>
        </w:tblPrEx>
        <w:trPr>
          <w:trHeight w:val="96" w:hRule="atLeast"/>
          <w:jc w:val="center"/>
        </w:trPr>
        <w:tc>
          <w:tcPr>
            <w:tcW w:w="7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sz w:val="22"/>
                <w:szCs w:val="22"/>
              </w:rPr>
              <w:t>课程内容设置</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sz w:val="22"/>
                <w:szCs w:val="22"/>
              </w:rPr>
              <w:t>课程内容设置</w:t>
            </w:r>
          </w:p>
        </w:tc>
        <w:tc>
          <w:tcPr>
            <w:tcW w:w="8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hint="eastAsia" w:ascii="仿宋" w:hAnsi="仿宋" w:eastAsia="仿宋" w:cs="仿宋"/>
                <w:color w:val="000000"/>
                <w:sz w:val="22"/>
                <w:szCs w:val="22"/>
              </w:rPr>
            </w:pPr>
            <w:r>
              <w:rPr>
                <w:rFonts w:hint="eastAsia" w:ascii="仿宋" w:hAnsi="仿宋" w:eastAsia="仿宋" w:cs="仿宋"/>
                <w:color w:val="000000"/>
                <w:sz w:val="22"/>
                <w:szCs w:val="22"/>
              </w:rPr>
              <w:t>强化课程思政</w:t>
            </w:r>
            <w:r>
              <w:rPr>
                <w:rFonts w:hint="eastAsia" w:ascii="仿宋" w:hAnsi="仿宋" w:eastAsia="仿宋" w:cs="仿宋"/>
                <w:color w:val="000000"/>
                <w:sz w:val="22"/>
                <w:szCs w:val="22"/>
                <w:lang w:eastAsia="zh-CN"/>
              </w:rPr>
              <w:t>，</w:t>
            </w:r>
            <w:r>
              <w:rPr>
                <w:rFonts w:hint="eastAsia" w:ascii="仿宋" w:hAnsi="仿宋" w:eastAsia="仿宋" w:cs="仿宋"/>
                <w:color w:val="000000"/>
                <w:sz w:val="22"/>
                <w:szCs w:val="22"/>
              </w:rPr>
              <w:t>积极构建“思政课程+课程思政”大格局，推进全员全过程全方位“三全育人”，实现思想政治教育与技术技能培养的有机统一。结合学生特点，创新思政课程教学模式。强化</w:t>
            </w:r>
            <w:r>
              <w:rPr>
                <w:rFonts w:hint="eastAsia" w:ascii="仿宋" w:hAnsi="仿宋" w:eastAsia="仿宋" w:cs="仿宋"/>
                <w:color w:val="000000"/>
                <w:sz w:val="22"/>
                <w:szCs w:val="22"/>
                <w:lang w:val="en-US" w:eastAsia="zh-CN"/>
              </w:rPr>
              <w:t>课程</w:t>
            </w:r>
            <w:r>
              <w:rPr>
                <w:rFonts w:hint="eastAsia" w:ascii="仿宋" w:hAnsi="仿宋" w:eastAsia="仿宋" w:cs="仿宋"/>
                <w:color w:val="000000"/>
                <w:sz w:val="22"/>
                <w:szCs w:val="22"/>
              </w:rPr>
              <w:t>教师立德树人意识，结合人才培养特点和专业能力素质要求，梳理课程蕴含的思想政治教育元素，发挥课程承载的思想政治教育功能，推动</w:t>
            </w:r>
            <w:r>
              <w:rPr>
                <w:rFonts w:hint="eastAsia" w:ascii="仿宋" w:hAnsi="仿宋" w:eastAsia="仿宋" w:cs="仿宋"/>
                <w:color w:val="000000"/>
                <w:sz w:val="22"/>
                <w:szCs w:val="22"/>
                <w:lang w:val="en-US" w:eastAsia="zh-CN"/>
              </w:rPr>
              <w:t>课程</w:t>
            </w:r>
            <w:r>
              <w:rPr>
                <w:rFonts w:hint="eastAsia" w:ascii="仿宋" w:hAnsi="仿宋" w:eastAsia="仿宋" w:cs="仿宋"/>
                <w:color w:val="000000"/>
                <w:sz w:val="22"/>
                <w:szCs w:val="22"/>
              </w:rPr>
              <w:t>教学与思想政治理论课教学紧密结合、同向同行。</w:t>
            </w:r>
          </w:p>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sz w:val="22"/>
                <w:szCs w:val="22"/>
              </w:rPr>
              <w:t>以职业能力为本位，以工作过程为导向，按照科技发展水平和职业资格标准设计课程结构和内容。将职业资格标准融入教学内容，以工作任务组织教学内容，注重专业知识、思想品德、人文素养和实践能力的融合。在校企合作上更加注重企业的参与，合作制订突出职业能力的课程标准。实行“1+X证书”制度教育，着力培养具有较强岗位适应能力的面向行业企业的高素质技术技能人才。</w:t>
            </w:r>
          </w:p>
        </w:tc>
      </w:tr>
      <w:tr>
        <w:tblPrEx>
          <w:tblCellMar>
            <w:top w:w="0" w:type="dxa"/>
            <w:left w:w="108" w:type="dxa"/>
            <w:bottom w:w="0" w:type="dxa"/>
            <w:right w:w="108" w:type="dxa"/>
          </w:tblCellMar>
        </w:tblPrEx>
        <w:trPr>
          <w:trHeight w:val="90" w:hRule="atLeast"/>
          <w:jc w:val="center"/>
        </w:trPr>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center"/>
              <w:rPr>
                <w:rFonts w:ascii="仿宋" w:hAnsi="仿宋" w:eastAsia="仿宋" w:cs="仿宋"/>
                <w:color w:val="000000"/>
                <w:sz w:val="22"/>
                <w:szCs w:val="22"/>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sz w:val="22"/>
                <w:szCs w:val="22"/>
              </w:rPr>
              <w:t>学时安排</w:t>
            </w:r>
          </w:p>
        </w:tc>
        <w:tc>
          <w:tcPr>
            <w:tcW w:w="8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color w:val="000000"/>
                <w:sz w:val="22"/>
                <w:szCs w:val="22"/>
              </w:rPr>
              <w:t>课程内容的组织与安排、学时分配合理，注重实践教学，实践教学的内容和课时比例有侧重等。</w:t>
            </w:r>
          </w:p>
        </w:tc>
      </w:tr>
      <w:tr>
        <w:tblPrEx>
          <w:tblCellMar>
            <w:top w:w="0" w:type="dxa"/>
            <w:left w:w="108" w:type="dxa"/>
            <w:bottom w:w="0" w:type="dxa"/>
            <w:right w:w="108" w:type="dxa"/>
          </w:tblCellMar>
        </w:tblPrEx>
        <w:trPr>
          <w:trHeight w:val="467" w:hRule="atLeast"/>
          <w:jc w:val="center"/>
        </w:trPr>
        <w:tc>
          <w:tcPr>
            <w:tcW w:w="745" w:type="dxa"/>
            <w:vMerge w:val="restart"/>
            <w:tcBorders>
              <w:top w:val="single" w:color="000000" w:sz="4" w:space="0"/>
              <w:left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sz w:val="22"/>
                <w:szCs w:val="22"/>
              </w:rPr>
              <w:t>课程设计</w:t>
            </w:r>
          </w:p>
        </w:tc>
        <w:tc>
          <w:tcPr>
            <w:tcW w:w="820"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auto"/>
                <w:sz w:val="22"/>
                <w:szCs w:val="22"/>
                <w:lang w:val="en-US" w:eastAsia="zh-CN"/>
              </w:rPr>
              <w:t>学情分析</w:t>
            </w:r>
          </w:p>
        </w:tc>
        <w:tc>
          <w:tcPr>
            <w:tcW w:w="8068"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tabs>
                <w:tab w:val="left" w:pos="1050"/>
              </w:tabs>
              <w:kinsoku/>
              <w:wordWrap/>
              <w:overflowPunct/>
              <w:topLinePunct w:val="0"/>
              <w:autoSpaceDE/>
              <w:autoSpaceDN/>
              <w:bidi w:val="0"/>
              <w:adjustRightInd/>
              <w:snapToGrid/>
              <w:spacing w:line="308" w:lineRule="auto"/>
              <w:jc w:val="left"/>
              <w:textAlignment w:val="auto"/>
              <w:rPr>
                <w:rFonts w:ascii="仿宋" w:hAnsi="仿宋" w:eastAsia="仿宋" w:cs="仿宋"/>
                <w:color w:val="000000"/>
                <w:sz w:val="22"/>
                <w:szCs w:val="22"/>
              </w:rPr>
            </w:pPr>
            <w:r>
              <w:rPr>
                <w:rFonts w:hint="eastAsia" w:ascii="仿宋" w:hAnsi="仿宋" w:eastAsia="仿宋" w:cs="仿宋"/>
                <w:color w:val="auto"/>
                <w:sz w:val="22"/>
                <w:szCs w:val="22"/>
                <w:lang w:val="en-US" w:eastAsia="zh-CN"/>
              </w:rPr>
              <w:t>有开展教学对象分析，对学生学习本课的原有基础和现有困难分析准确。有采取教学对策帮助学生克服学习上的困难和心理障碍，能够因材施教，有利于提高学习成效。</w:t>
            </w:r>
          </w:p>
        </w:tc>
      </w:tr>
      <w:tr>
        <w:tblPrEx>
          <w:tblCellMar>
            <w:top w:w="0" w:type="dxa"/>
            <w:left w:w="108" w:type="dxa"/>
            <w:bottom w:w="0" w:type="dxa"/>
            <w:right w:w="108" w:type="dxa"/>
          </w:tblCellMar>
        </w:tblPrEx>
        <w:trPr>
          <w:trHeight w:val="425" w:hRule="atLeast"/>
          <w:jc w:val="center"/>
        </w:trPr>
        <w:tc>
          <w:tcPr>
            <w:tcW w:w="745" w:type="dxa"/>
            <w:vMerge w:val="continue"/>
            <w:tcBorders>
              <w:left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p>
        </w:tc>
        <w:tc>
          <w:tcPr>
            <w:tcW w:w="82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auto"/>
                <w:sz w:val="22"/>
                <w:szCs w:val="22"/>
                <w:lang w:val="en-US" w:eastAsia="zh-CN"/>
              </w:rPr>
              <w:t>教学方法</w:t>
            </w:r>
          </w:p>
        </w:tc>
        <w:tc>
          <w:tcPr>
            <w:tcW w:w="8068"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tabs>
                <w:tab w:val="left" w:pos="1050"/>
              </w:tabs>
              <w:kinsoku/>
              <w:wordWrap/>
              <w:overflowPunct/>
              <w:topLinePunct w:val="0"/>
              <w:autoSpaceDE/>
              <w:autoSpaceDN/>
              <w:bidi w:val="0"/>
              <w:adjustRightInd/>
              <w:snapToGrid/>
              <w:spacing w:line="308" w:lineRule="auto"/>
              <w:jc w:val="left"/>
              <w:textAlignment w:val="auto"/>
              <w:rPr>
                <w:rFonts w:ascii="仿宋" w:hAnsi="仿宋" w:eastAsia="仿宋" w:cs="仿宋"/>
                <w:b/>
                <w:bCs/>
                <w:color w:val="000000"/>
                <w:sz w:val="22"/>
                <w:szCs w:val="22"/>
              </w:rPr>
            </w:pPr>
            <w:r>
              <w:rPr>
                <w:rFonts w:hint="eastAsia" w:ascii="仿宋" w:hAnsi="仿宋" w:eastAsia="仿宋" w:cs="仿宋"/>
                <w:bCs/>
                <w:color w:val="auto"/>
                <w:sz w:val="22"/>
                <w:szCs w:val="22"/>
              </w:rPr>
              <w:t>有组织开发专业课程标准和教案</w:t>
            </w:r>
            <w:r>
              <w:rPr>
                <w:rFonts w:hint="eastAsia" w:ascii="仿宋" w:hAnsi="仿宋" w:eastAsia="仿宋" w:cs="仿宋"/>
                <w:bCs/>
                <w:color w:val="auto"/>
                <w:sz w:val="22"/>
                <w:szCs w:val="22"/>
                <w:lang w:eastAsia="zh-CN"/>
              </w:rPr>
              <w:t>。</w:t>
            </w:r>
            <w:r>
              <w:rPr>
                <w:rFonts w:hint="eastAsia" w:ascii="仿宋" w:hAnsi="仿宋" w:eastAsia="仿宋" w:cs="仿宋"/>
                <w:bCs/>
                <w:color w:val="auto"/>
                <w:sz w:val="22"/>
                <w:szCs w:val="22"/>
              </w:rPr>
              <w:t>有根据专业人才培养方案总体要求，制（修）订专业课程标准，明确课程目标，优化课程内容，规范教学过程，及时将新技术、新工艺、新规范纳入课程标准和教学内容。有指导教师准确把握课程教学要求，规范编写、严格执行教案，做好课程总体设计，按程序选用教材，合理运用各类教学资源，做好教学组织实施。</w:t>
            </w:r>
            <w:r>
              <w:rPr>
                <w:rFonts w:hint="eastAsia" w:ascii="仿宋" w:hAnsi="仿宋" w:eastAsia="仿宋" w:cs="仿宋"/>
                <w:color w:val="auto"/>
                <w:sz w:val="22"/>
                <w:szCs w:val="22"/>
                <w:lang w:val="en-US" w:eastAsia="zh-CN"/>
              </w:rPr>
              <w:t>教学设计科学可行，以产教融合为切入点，以职业能力培养为重点，与行业企业合作进行基于工作过程的课程开发与设计，体现“教、学、做”一体化应用和以学生为中心的教学思想。重视学生在校学习与实际工作的一致性，有针对性地采取工学结合、任务驱动、项目导向、课堂与实习地点一体化等行动导向的教学模式。要特别强调使用适合培养职业技能和职业素养的案例教学法、情境教学法、讨论教学法、自学辅导法等教学方法的改革在激发学生学习兴趣和提高教学效果方面的实效。注重学生可持续发展和创新精神培养充分体现，即职业性、实践性和开放性的要求。有体现模块或项目设计的框架思路及内容的详略安排，突出能力培养，突显教学重点的环节设计，课程的重点、难点有解决办法、有突破具体步骤；</w:t>
            </w:r>
            <w:r>
              <w:rPr>
                <w:rFonts w:hint="eastAsia" w:ascii="仿宋" w:hAnsi="仿宋" w:eastAsia="仿宋" w:cs="仿宋"/>
                <w:bCs/>
                <w:color w:val="auto"/>
                <w:sz w:val="22"/>
                <w:szCs w:val="22"/>
              </w:rPr>
              <w:t>准确把握课程教学要求，规范编写、严格执行教案</w:t>
            </w:r>
            <w:r>
              <w:rPr>
                <w:rFonts w:hint="eastAsia" w:ascii="仿宋" w:hAnsi="仿宋" w:eastAsia="仿宋" w:cs="仿宋"/>
                <w:bCs/>
                <w:color w:val="auto"/>
                <w:sz w:val="22"/>
                <w:szCs w:val="22"/>
                <w:lang w:eastAsia="zh-CN"/>
              </w:rPr>
              <w:t>。</w:t>
            </w:r>
          </w:p>
        </w:tc>
      </w:tr>
      <w:tr>
        <w:tblPrEx>
          <w:tblCellMar>
            <w:top w:w="0" w:type="dxa"/>
            <w:left w:w="108" w:type="dxa"/>
            <w:bottom w:w="0" w:type="dxa"/>
            <w:right w:w="108" w:type="dxa"/>
          </w:tblCellMar>
        </w:tblPrEx>
        <w:trPr>
          <w:trHeight w:val="380" w:hRule="atLeast"/>
          <w:jc w:val="center"/>
        </w:trPr>
        <w:tc>
          <w:tcPr>
            <w:tcW w:w="745" w:type="dxa"/>
            <w:vMerge w:val="continue"/>
            <w:tcBorders>
              <w:left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p>
        </w:tc>
        <w:tc>
          <w:tcPr>
            <w:tcW w:w="82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auto"/>
                <w:sz w:val="22"/>
                <w:szCs w:val="22"/>
                <w:lang w:val="en-US" w:eastAsia="zh-CN"/>
              </w:rPr>
              <w:t>教学手段</w:t>
            </w:r>
          </w:p>
        </w:tc>
        <w:tc>
          <w:tcPr>
            <w:tcW w:w="8068"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tabs>
                <w:tab w:val="left" w:pos="1050"/>
              </w:tabs>
              <w:kinsoku/>
              <w:wordWrap/>
              <w:overflowPunct/>
              <w:topLinePunct w:val="0"/>
              <w:autoSpaceDE/>
              <w:autoSpaceDN/>
              <w:bidi w:val="0"/>
              <w:adjustRightInd/>
              <w:snapToGrid/>
              <w:spacing w:line="308" w:lineRule="auto"/>
              <w:jc w:val="left"/>
              <w:textAlignment w:val="auto"/>
              <w:rPr>
                <w:rFonts w:ascii="仿宋" w:hAnsi="仿宋" w:eastAsia="仿宋" w:cs="仿宋"/>
                <w:color w:val="000000"/>
                <w:sz w:val="22"/>
                <w:szCs w:val="22"/>
              </w:rPr>
            </w:pPr>
            <w:r>
              <w:rPr>
                <w:rFonts w:hint="eastAsia" w:ascii="仿宋" w:hAnsi="仿宋" w:eastAsia="仿宋" w:cs="仿宋"/>
                <w:color w:val="auto"/>
                <w:sz w:val="22"/>
                <w:szCs w:val="22"/>
                <w:lang w:val="en-US" w:eastAsia="zh-CN"/>
              </w:rPr>
              <w:t xml:space="preserve">科学地使用现代教育技术手段和网络教学资源开展教学活动，协调传统教学手段和现代教育技术的应用。 </w:t>
            </w:r>
          </w:p>
        </w:tc>
      </w:tr>
      <w:tr>
        <w:tblPrEx>
          <w:tblCellMar>
            <w:top w:w="0" w:type="dxa"/>
            <w:left w:w="108" w:type="dxa"/>
            <w:bottom w:w="0" w:type="dxa"/>
            <w:right w:w="108" w:type="dxa"/>
          </w:tblCellMar>
        </w:tblPrEx>
        <w:trPr>
          <w:trHeight w:val="434" w:hRule="atLeast"/>
          <w:jc w:val="center"/>
        </w:trPr>
        <w:tc>
          <w:tcPr>
            <w:tcW w:w="745" w:type="dxa"/>
            <w:vMerge w:val="continue"/>
            <w:tcBorders>
              <w:left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p>
        </w:tc>
        <w:tc>
          <w:tcPr>
            <w:tcW w:w="82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auto"/>
                <w:sz w:val="22"/>
                <w:szCs w:val="22"/>
                <w:lang w:val="en-US" w:eastAsia="zh-CN"/>
              </w:rPr>
              <w:t>考核评价</w:t>
            </w:r>
          </w:p>
        </w:tc>
        <w:tc>
          <w:tcPr>
            <w:tcW w:w="8068"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tabs>
                <w:tab w:val="left" w:pos="1050"/>
              </w:tabs>
              <w:kinsoku/>
              <w:wordWrap/>
              <w:overflowPunct/>
              <w:topLinePunct w:val="0"/>
              <w:autoSpaceDE/>
              <w:autoSpaceDN/>
              <w:bidi w:val="0"/>
              <w:adjustRightInd/>
              <w:snapToGrid/>
              <w:spacing w:line="308" w:lineRule="auto"/>
              <w:jc w:val="left"/>
              <w:textAlignment w:val="auto"/>
              <w:rPr>
                <w:rFonts w:ascii="仿宋" w:hAnsi="仿宋" w:eastAsia="仿宋" w:cs="仿宋"/>
                <w:color w:val="000000"/>
                <w:sz w:val="22"/>
                <w:szCs w:val="22"/>
              </w:rPr>
            </w:pPr>
            <w:r>
              <w:rPr>
                <w:rFonts w:hint="eastAsia" w:ascii="仿宋" w:hAnsi="仿宋" w:eastAsia="仿宋" w:cs="仿宋"/>
                <w:color w:val="auto"/>
                <w:sz w:val="22"/>
                <w:szCs w:val="22"/>
                <w:lang w:val="en-US" w:eastAsia="zh-CN"/>
              </w:rPr>
              <w:t>课程对学生学习效果所采用的考核方式方法及成绩评定办法有依据。课程考核从知识、技能、素养、课程思政四方面寻找指标。有关注学习者的个体差异，采用过程性评价、结果性评价及其组合等多样的考核方式进行。</w:t>
            </w:r>
          </w:p>
        </w:tc>
      </w:tr>
      <w:tr>
        <w:tblPrEx>
          <w:tblCellMar>
            <w:top w:w="0" w:type="dxa"/>
            <w:left w:w="108" w:type="dxa"/>
            <w:bottom w:w="0" w:type="dxa"/>
            <w:right w:w="108" w:type="dxa"/>
          </w:tblCellMar>
        </w:tblPrEx>
        <w:trPr>
          <w:trHeight w:val="90" w:hRule="atLeast"/>
          <w:jc w:val="center"/>
        </w:trPr>
        <w:tc>
          <w:tcPr>
            <w:tcW w:w="745" w:type="dxa"/>
            <w:vMerge w:val="continue"/>
            <w:tcBorders>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p>
        </w:tc>
        <w:tc>
          <w:tcPr>
            <w:tcW w:w="820"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auto"/>
                <w:sz w:val="22"/>
                <w:szCs w:val="22"/>
                <w:lang w:val="en-US" w:eastAsia="zh-CN"/>
              </w:rPr>
              <w:t>课程评价</w:t>
            </w:r>
          </w:p>
        </w:tc>
        <w:tc>
          <w:tcPr>
            <w:tcW w:w="8068"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val="0"/>
              <w:ind w:left="0" w:leftChars="0" w:firstLine="0" w:firstLineChars="0"/>
              <w:jc w:val="both"/>
              <w:rPr>
                <w:rFonts w:ascii="仿宋" w:hAnsi="仿宋" w:eastAsia="仿宋" w:cs="仿宋"/>
                <w:color w:val="000000"/>
                <w:kern w:val="0"/>
                <w:sz w:val="22"/>
                <w:szCs w:val="22"/>
                <w:lang w:val="en-US" w:eastAsia="zh-CN" w:bidi="ar-SA"/>
              </w:rPr>
            </w:pPr>
            <w:r>
              <w:rPr>
                <w:rFonts w:hint="eastAsia" w:ascii="仿宋" w:hAnsi="仿宋" w:eastAsia="仿宋" w:cs="仿宋"/>
                <w:color w:val="auto"/>
                <w:kern w:val="0"/>
                <w:sz w:val="22"/>
                <w:szCs w:val="22"/>
                <w:lang w:val="en-US" w:eastAsia="zh-CN" w:bidi="ar-SA"/>
              </w:rPr>
              <w:t>有开展教师自我评价、学生评教、同行听课评价、督导评价与教学巡查。</w:t>
            </w:r>
          </w:p>
        </w:tc>
      </w:tr>
      <w:tr>
        <w:tblPrEx>
          <w:tblCellMar>
            <w:top w:w="0" w:type="dxa"/>
            <w:left w:w="108" w:type="dxa"/>
            <w:bottom w:w="0" w:type="dxa"/>
            <w:right w:w="108" w:type="dxa"/>
          </w:tblCellMar>
        </w:tblPrEx>
        <w:trPr>
          <w:trHeight w:val="464" w:hRule="atLeast"/>
          <w:jc w:val="center"/>
        </w:trPr>
        <w:tc>
          <w:tcPr>
            <w:tcW w:w="745" w:type="dxa"/>
            <w:vMerge w:val="restart"/>
            <w:tcBorders>
              <w:top w:val="single" w:color="000000" w:sz="4" w:space="0"/>
              <w:left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sz w:val="22"/>
                <w:szCs w:val="22"/>
              </w:rPr>
              <w:t>课程实施保障</w:t>
            </w:r>
          </w:p>
        </w:tc>
        <w:tc>
          <w:tcPr>
            <w:tcW w:w="820"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b w:val="0"/>
                <w:bCs w:val="0"/>
                <w:color w:val="auto"/>
                <w:sz w:val="22"/>
                <w:szCs w:val="22"/>
                <w:lang w:val="en-US" w:eastAsia="zh-CN"/>
              </w:rPr>
              <w:t>教学团队</w:t>
            </w:r>
          </w:p>
        </w:tc>
        <w:tc>
          <w:tcPr>
            <w:tcW w:w="8068"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tabs>
                <w:tab w:val="left" w:pos="1050"/>
              </w:tabs>
              <w:kinsoku/>
              <w:wordWrap/>
              <w:overflowPunct/>
              <w:topLinePunct w:val="0"/>
              <w:autoSpaceDE/>
              <w:autoSpaceDN/>
              <w:bidi w:val="0"/>
              <w:adjustRightInd/>
              <w:snapToGrid/>
              <w:spacing w:line="308" w:lineRule="auto"/>
              <w:jc w:val="left"/>
              <w:textAlignment w:val="auto"/>
              <w:rPr>
                <w:rFonts w:ascii="仿宋" w:hAnsi="仿宋" w:eastAsia="仿宋" w:cs="仿宋"/>
                <w:color w:val="000000"/>
                <w:sz w:val="22"/>
                <w:szCs w:val="22"/>
              </w:rPr>
            </w:pPr>
            <w:r>
              <w:rPr>
                <w:rFonts w:hint="eastAsia" w:ascii="仿宋" w:hAnsi="仿宋" w:eastAsia="仿宋" w:cs="仿宋"/>
                <w:b w:val="0"/>
                <w:bCs w:val="0"/>
                <w:color w:val="auto"/>
                <w:sz w:val="22"/>
                <w:szCs w:val="22"/>
                <w:lang w:val="en-US" w:eastAsia="zh-CN"/>
              </w:rPr>
              <w:t>课程教学团队的规模适度；专任教师和兼职教师比例协调；教师双师素质和社会实践能力能满足课程教学需要；课程教学团队具备较强的职业培训、技能鉴定、技术服务能力；制定了课程团队的建设与发展规划；具备指导学生进行项目开发和综合实践的能力等。</w:t>
            </w:r>
          </w:p>
        </w:tc>
      </w:tr>
      <w:tr>
        <w:tblPrEx>
          <w:tblCellMar>
            <w:top w:w="0" w:type="dxa"/>
            <w:left w:w="108" w:type="dxa"/>
            <w:bottom w:w="0" w:type="dxa"/>
            <w:right w:w="108" w:type="dxa"/>
          </w:tblCellMar>
        </w:tblPrEx>
        <w:trPr>
          <w:trHeight w:val="395" w:hRule="atLeast"/>
          <w:jc w:val="center"/>
        </w:trPr>
        <w:tc>
          <w:tcPr>
            <w:tcW w:w="745" w:type="dxa"/>
            <w:vMerge w:val="continue"/>
            <w:tcBorders>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p>
        </w:tc>
        <w:tc>
          <w:tcPr>
            <w:tcW w:w="82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b w:val="0"/>
                <w:bCs w:val="0"/>
                <w:color w:val="auto"/>
                <w:sz w:val="22"/>
                <w:szCs w:val="22"/>
                <w:lang w:val="en-US" w:eastAsia="zh-CN"/>
              </w:rPr>
              <w:t>教学资源</w:t>
            </w:r>
          </w:p>
        </w:tc>
        <w:tc>
          <w:tcPr>
            <w:tcW w:w="8068"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tabs>
                <w:tab w:val="left" w:pos="1050"/>
              </w:tabs>
              <w:kinsoku/>
              <w:wordWrap/>
              <w:overflowPunct/>
              <w:topLinePunct w:val="0"/>
              <w:autoSpaceDE/>
              <w:autoSpaceDN/>
              <w:bidi w:val="0"/>
              <w:adjustRightInd/>
              <w:snapToGrid/>
              <w:spacing w:line="308" w:lineRule="auto"/>
              <w:jc w:val="left"/>
              <w:textAlignment w:val="auto"/>
              <w:rPr>
                <w:rFonts w:ascii="仿宋" w:hAnsi="仿宋" w:eastAsia="仿宋" w:cs="仿宋"/>
                <w:color w:val="000000"/>
                <w:sz w:val="22"/>
                <w:szCs w:val="22"/>
              </w:rPr>
            </w:pPr>
            <w:r>
              <w:rPr>
                <w:rFonts w:hint="eastAsia" w:ascii="仿宋" w:hAnsi="仿宋" w:eastAsia="仿宋" w:cs="仿宋"/>
                <w:bCs/>
                <w:color w:val="auto"/>
                <w:sz w:val="22"/>
                <w:szCs w:val="22"/>
              </w:rPr>
              <w:t>图书资料、优质教学资源和网络信息资源等充分开发利用</w:t>
            </w:r>
            <w:r>
              <w:rPr>
                <w:rFonts w:hint="eastAsia" w:ascii="仿宋" w:hAnsi="仿宋" w:eastAsia="仿宋" w:cs="仿宋"/>
                <w:bCs/>
                <w:color w:val="auto"/>
                <w:sz w:val="22"/>
                <w:szCs w:val="22"/>
                <w:lang w:eastAsia="zh-CN"/>
              </w:rPr>
              <w:t>；</w:t>
            </w:r>
            <w:r>
              <w:rPr>
                <w:rFonts w:hint="eastAsia" w:ascii="仿宋" w:hAnsi="仿宋" w:eastAsia="仿宋" w:cs="仿宋"/>
                <w:b w:val="0"/>
                <w:bCs w:val="0"/>
                <w:color w:val="auto"/>
                <w:sz w:val="22"/>
                <w:szCs w:val="22"/>
                <w:lang w:val="en-US" w:eastAsia="zh-CN"/>
              </w:rPr>
              <w:t>课程数字化教学资源建设满足专业人才培养的需求；专业教学资源库建设满足课程的教学需求（如国家级、省级资源库建设平台等）；建设了一批优质的专业课程教学资源（如在线开放课程平台、网络课程平台等），资源使用效率高，并形成了可持续开发、应用机制；利用现代信息技术开发了虚拟的、仿真实训教学项目或教学课件；教师开展线上教学、学生在线学习的相关制度完善等。</w:t>
            </w:r>
          </w:p>
        </w:tc>
      </w:tr>
      <w:tr>
        <w:tblPrEx>
          <w:tblCellMar>
            <w:top w:w="0" w:type="dxa"/>
            <w:left w:w="108" w:type="dxa"/>
            <w:bottom w:w="0" w:type="dxa"/>
            <w:right w:w="108" w:type="dxa"/>
          </w:tblCellMar>
        </w:tblPrEx>
        <w:trPr>
          <w:trHeight w:val="435" w:hRule="atLeast"/>
          <w:jc w:val="center"/>
        </w:trPr>
        <w:tc>
          <w:tcPr>
            <w:tcW w:w="745" w:type="dxa"/>
            <w:vMerge w:val="continue"/>
            <w:tcBorders>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p>
        </w:tc>
        <w:tc>
          <w:tcPr>
            <w:tcW w:w="82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b w:val="0"/>
                <w:bCs w:val="0"/>
                <w:color w:val="auto"/>
                <w:sz w:val="22"/>
                <w:szCs w:val="22"/>
                <w:lang w:val="en-US" w:eastAsia="zh-CN"/>
              </w:rPr>
              <w:t>教材建设</w:t>
            </w:r>
          </w:p>
        </w:tc>
        <w:tc>
          <w:tcPr>
            <w:tcW w:w="8068"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tabs>
                <w:tab w:val="left" w:pos="1050"/>
              </w:tabs>
              <w:kinsoku/>
              <w:wordWrap/>
              <w:overflowPunct/>
              <w:topLinePunct w:val="0"/>
              <w:autoSpaceDE/>
              <w:autoSpaceDN/>
              <w:bidi w:val="0"/>
              <w:adjustRightInd/>
              <w:snapToGrid/>
              <w:spacing w:line="308" w:lineRule="auto"/>
              <w:jc w:val="left"/>
              <w:textAlignment w:val="auto"/>
              <w:rPr>
                <w:rFonts w:ascii="仿宋" w:hAnsi="仿宋" w:eastAsia="仿宋" w:cs="仿宋"/>
                <w:color w:val="000000"/>
                <w:sz w:val="22"/>
                <w:szCs w:val="22"/>
              </w:rPr>
            </w:pPr>
            <w:r>
              <w:rPr>
                <w:rFonts w:hint="eastAsia" w:ascii="仿宋" w:hAnsi="仿宋" w:eastAsia="仿宋" w:cs="仿宋"/>
                <w:b w:val="0"/>
                <w:bCs w:val="0"/>
                <w:color w:val="auto"/>
                <w:sz w:val="22"/>
                <w:szCs w:val="22"/>
                <w:lang w:val="en-US" w:eastAsia="zh-CN"/>
              </w:rPr>
              <w:t>建立了建材开发和选用制度；</w:t>
            </w:r>
            <w:r>
              <w:rPr>
                <w:rFonts w:hint="eastAsia" w:ascii="仿宋" w:hAnsi="仿宋" w:eastAsia="仿宋" w:cs="仿宋"/>
                <w:bCs/>
                <w:color w:val="auto"/>
                <w:sz w:val="22"/>
                <w:szCs w:val="22"/>
              </w:rPr>
              <w:t>注重与行业、企业合作开发课程和教材，选用优秀高职教材</w:t>
            </w:r>
            <w:r>
              <w:rPr>
                <w:rFonts w:hint="eastAsia" w:ascii="仿宋" w:hAnsi="仿宋" w:eastAsia="仿宋" w:cs="仿宋"/>
                <w:b w:val="0"/>
                <w:bCs w:val="0"/>
                <w:color w:val="auto"/>
                <w:sz w:val="22"/>
                <w:szCs w:val="22"/>
                <w:lang w:val="en-US" w:eastAsia="zh-CN"/>
              </w:rPr>
              <w:t>；课程实训教材完成开发，有开发针对学生创新创业能力培养的虚拟、仿真实教学培训案例教程等。</w:t>
            </w:r>
          </w:p>
        </w:tc>
      </w:tr>
      <w:tr>
        <w:tblPrEx>
          <w:tblCellMar>
            <w:top w:w="0" w:type="dxa"/>
            <w:left w:w="108" w:type="dxa"/>
            <w:bottom w:w="0" w:type="dxa"/>
            <w:right w:w="108" w:type="dxa"/>
          </w:tblCellMar>
        </w:tblPrEx>
        <w:trPr>
          <w:trHeight w:val="1851" w:hRule="atLeast"/>
          <w:jc w:val="center"/>
        </w:trPr>
        <w:tc>
          <w:tcPr>
            <w:tcW w:w="745" w:type="dxa"/>
            <w:vMerge w:val="continue"/>
            <w:tcBorders>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p>
        </w:tc>
        <w:tc>
          <w:tcPr>
            <w:tcW w:w="820"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b w:val="0"/>
                <w:bCs w:val="0"/>
                <w:color w:val="auto"/>
                <w:sz w:val="22"/>
                <w:szCs w:val="22"/>
                <w:lang w:val="en-US" w:eastAsia="zh-CN"/>
              </w:rPr>
              <w:t>实践教学条件</w:t>
            </w:r>
          </w:p>
        </w:tc>
        <w:tc>
          <w:tcPr>
            <w:tcW w:w="8068"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left"/>
              <w:textAlignment w:val="center"/>
              <w:rPr>
                <w:rFonts w:ascii="仿宋" w:hAnsi="仿宋" w:eastAsia="仿宋" w:cs="仿宋"/>
                <w:color w:val="000000"/>
                <w:sz w:val="22"/>
                <w:szCs w:val="22"/>
              </w:rPr>
            </w:pPr>
            <w:r>
              <w:rPr>
                <w:rFonts w:hint="eastAsia" w:ascii="仿宋" w:hAnsi="仿宋" w:eastAsia="仿宋" w:cs="仿宋"/>
                <w:b w:val="0"/>
                <w:bCs w:val="0"/>
                <w:color w:val="auto"/>
                <w:sz w:val="22"/>
                <w:szCs w:val="22"/>
                <w:lang w:val="en-US" w:eastAsia="zh-CN"/>
              </w:rPr>
              <w:t>校内与课程相关实训室的管理规范，有较高的使用效率；实训室数量、设备配置等满足课程的教学、生产、科研和社会服务的需求；与企业共建了针对课程实训的校外实习实训基地，</w:t>
            </w:r>
            <w:r>
              <w:rPr>
                <w:rFonts w:hint="eastAsia" w:ascii="仿宋" w:hAnsi="仿宋" w:eastAsia="仿宋" w:cs="仿宋"/>
                <w:bCs/>
                <w:color w:val="auto"/>
                <w:sz w:val="22"/>
                <w:szCs w:val="22"/>
              </w:rPr>
              <w:t>运行状态良好、保障机制完善</w:t>
            </w:r>
            <w:r>
              <w:rPr>
                <w:rFonts w:hint="eastAsia" w:ascii="仿宋" w:hAnsi="仿宋" w:eastAsia="仿宋" w:cs="仿宋"/>
                <w:b w:val="0"/>
                <w:bCs w:val="0"/>
                <w:color w:val="auto"/>
                <w:sz w:val="22"/>
                <w:szCs w:val="22"/>
                <w:lang w:val="en-US" w:eastAsia="zh-CN"/>
              </w:rPr>
              <w:t>；提供了与课程相关的创新创业教育平台等。</w:t>
            </w:r>
          </w:p>
        </w:tc>
      </w:tr>
      <w:tr>
        <w:tblPrEx>
          <w:tblCellMar>
            <w:top w:w="0" w:type="dxa"/>
            <w:left w:w="108" w:type="dxa"/>
            <w:bottom w:w="0" w:type="dxa"/>
            <w:right w:w="108" w:type="dxa"/>
          </w:tblCellMar>
        </w:tblPrEx>
        <w:trPr>
          <w:trHeight w:val="90" w:hRule="atLeast"/>
          <w:jc w:val="center"/>
        </w:trPr>
        <w:tc>
          <w:tcPr>
            <w:tcW w:w="745" w:type="dxa"/>
            <w:vMerge w:val="restart"/>
            <w:tcBorders>
              <w:top w:val="single" w:color="000000" w:sz="4" w:space="0"/>
              <w:left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sz w:val="22"/>
                <w:szCs w:val="22"/>
              </w:rPr>
              <w:t>课程建设成效</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b w:val="0"/>
                <w:bCs w:val="0"/>
                <w:color w:val="auto"/>
                <w:sz w:val="22"/>
                <w:szCs w:val="22"/>
                <w:lang w:val="en-US" w:eastAsia="zh-CN"/>
              </w:rPr>
              <w:t>实践教学成效</w:t>
            </w:r>
          </w:p>
        </w:tc>
        <w:tc>
          <w:tcPr>
            <w:tcW w:w="8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tabs>
                <w:tab w:val="left" w:pos="1050"/>
              </w:tabs>
              <w:kinsoku/>
              <w:wordWrap/>
              <w:overflowPunct/>
              <w:topLinePunct w:val="0"/>
              <w:autoSpaceDE/>
              <w:autoSpaceDN/>
              <w:bidi w:val="0"/>
              <w:adjustRightInd/>
              <w:snapToGrid/>
              <w:spacing w:line="308" w:lineRule="auto"/>
              <w:jc w:val="left"/>
              <w:textAlignment w:val="auto"/>
              <w:rPr>
                <w:rFonts w:ascii="仿宋" w:hAnsi="仿宋" w:eastAsia="仿宋" w:cs="仿宋"/>
                <w:color w:val="000000"/>
                <w:sz w:val="22"/>
                <w:szCs w:val="22"/>
              </w:rPr>
            </w:pPr>
            <w:r>
              <w:rPr>
                <w:rFonts w:hint="eastAsia" w:ascii="仿宋" w:hAnsi="仿宋" w:eastAsia="仿宋" w:cs="仿宋"/>
                <w:bCs/>
                <w:color w:val="auto"/>
                <w:sz w:val="22"/>
                <w:szCs w:val="22"/>
              </w:rPr>
              <w:t>能根据职业能力培养的需要设计实践教学体系，</w:t>
            </w:r>
            <w:r>
              <w:rPr>
                <w:rFonts w:hint="eastAsia" w:ascii="仿宋" w:hAnsi="仿宋" w:eastAsia="仿宋" w:cs="仿宋"/>
                <w:b w:val="0"/>
                <w:bCs w:val="0"/>
                <w:color w:val="auto"/>
                <w:sz w:val="22"/>
                <w:szCs w:val="22"/>
                <w:lang w:val="en-US" w:eastAsia="zh-CN"/>
              </w:rPr>
              <w:t>体现“岗课赛证，四位一体”；</w:t>
            </w:r>
            <w:r>
              <w:rPr>
                <w:rFonts w:hint="eastAsia" w:ascii="仿宋" w:hAnsi="仿宋" w:eastAsia="仿宋" w:cs="仿宋"/>
                <w:bCs/>
                <w:color w:val="auto"/>
                <w:sz w:val="22"/>
                <w:szCs w:val="22"/>
              </w:rPr>
              <w:t>以真实的工作任务为载体设计实践教学项目与内容；生产性实训与顶岗实习安排合理、有效，有一线企业兼职教师参与教学、指导与考核。实践教学文件齐全。</w:t>
            </w:r>
          </w:p>
        </w:tc>
      </w:tr>
      <w:tr>
        <w:tblPrEx>
          <w:tblCellMar>
            <w:top w:w="0" w:type="dxa"/>
            <w:left w:w="108" w:type="dxa"/>
            <w:bottom w:w="0" w:type="dxa"/>
            <w:right w:w="108" w:type="dxa"/>
          </w:tblCellMar>
        </w:tblPrEx>
        <w:trPr>
          <w:trHeight w:val="90" w:hRule="atLeast"/>
          <w:jc w:val="center"/>
        </w:trPr>
        <w:tc>
          <w:tcPr>
            <w:tcW w:w="745" w:type="dxa"/>
            <w:vMerge w:val="continue"/>
            <w:tcBorders>
              <w:left w:val="single" w:color="000000" w:sz="4" w:space="0"/>
              <w:right w:val="single" w:color="000000" w:sz="4" w:space="0"/>
            </w:tcBorders>
            <w:shd w:val="clear" w:color="auto" w:fill="auto"/>
            <w:vAlign w:val="center"/>
          </w:tcPr>
          <w:p>
            <w:pPr>
              <w:spacing w:line="308" w:lineRule="auto"/>
              <w:jc w:val="center"/>
              <w:rPr>
                <w:rFonts w:ascii="仿宋" w:hAnsi="仿宋" w:eastAsia="仿宋" w:cs="仿宋"/>
                <w:color w:val="000000"/>
                <w:sz w:val="22"/>
                <w:szCs w:val="22"/>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b w:val="0"/>
                <w:bCs w:val="0"/>
                <w:color w:val="auto"/>
                <w:sz w:val="22"/>
                <w:szCs w:val="22"/>
                <w:lang w:val="en-US" w:eastAsia="zh-CN"/>
              </w:rPr>
              <w:t>课程改革成效</w:t>
            </w:r>
          </w:p>
        </w:tc>
        <w:tc>
          <w:tcPr>
            <w:tcW w:w="806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rPr>
                <w:rFonts w:ascii="仿宋" w:hAnsi="仿宋" w:eastAsia="仿宋" w:cs="仿宋"/>
                <w:color w:val="000000"/>
                <w:sz w:val="22"/>
                <w:szCs w:val="22"/>
              </w:rPr>
            </w:pPr>
            <w:r>
              <w:rPr>
                <w:rFonts w:hint="eastAsia" w:ascii="仿宋" w:hAnsi="仿宋" w:eastAsia="仿宋" w:cs="仿宋"/>
                <w:bCs/>
                <w:color w:val="auto"/>
                <w:sz w:val="22"/>
                <w:szCs w:val="22"/>
              </w:rPr>
              <w:t>深化教师、教材、教法改革。建设符合项目式、模块化教学需要的教学创新团队，不断优化教师能力结构。健全教材选用制度，选用体现新技术、新工艺、新规范等的高质量教材，引入典型生产案例。总结推广现代学徒制试点经验，普及项目教学、案例教学、情境教学、模块化教学等教学方式，广泛运用启发式、探究式、讨论式、参与式等教学方法，推广翻转课堂、混合式教学、理实一体教学等新型教学模式，推动课堂教学革命。加强课堂教学管理，规范教学秩序，打造优质课堂。</w:t>
            </w:r>
          </w:p>
        </w:tc>
      </w:tr>
      <w:tr>
        <w:tblPrEx>
          <w:tblCellMar>
            <w:top w:w="0" w:type="dxa"/>
            <w:left w:w="108" w:type="dxa"/>
            <w:bottom w:w="0" w:type="dxa"/>
            <w:right w:w="108" w:type="dxa"/>
          </w:tblCellMar>
        </w:tblPrEx>
        <w:trPr>
          <w:trHeight w:val="90" w:hRule="atLeast"/>
          <w:jc w:val="center"/>
        </w:trPr>
        <w:tc>
          <w:tcPr>
            <w:tcW w:w="745" w:type="dxa"/>
            <w:vMerge w:val="continue"/>
            <w:tcBorders>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b w:val="0"/>
                <w:bCs w:val="0"/>
                <w:color w:val="auto"/>
                <w:sz w:val="22"/>
                <w:szCs w:val="22"/>
                <w:lang w:val="en-US" w:eastAsia="zh-CN"/>
              </w:rPr>
              <w:t>课程应用成效</w:t>
            </w:r>
          </w:p>
        </w:tc>
        <w:tc>
          <w:tcPr>
            <w:tcW w:w="8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ind w:left="0" w:leftChars="0" w:firstLine="0" w:firstLineChars="0"/>
              <w:jc w:val="both"/>
              <w:rPr>
                <w:rFonts w:ascii="仿宋" w:hAnsi="仿宋" w:eastAsia="仿宋" w:cs="仿宋"/>
                <w:color w:val="000000"/>
                <w:kern w:val="0"/>
                <w:sz w:val="22"/>
                <w:szCs w:val="22"/>
                <w:lang w:val="en-US" w:eastAsia="zh-CN" w:bidi="ar-SA"/>
              </w:rPr>
            </w:pPr>
            <w:r>
              <w:rPr>
                <w:rFonts w:hint="eastAsia" w:ascii="仿宋" w:hAnsi="仿宋" w:eastAsia="仿宋" w:cs="仿宋"/>
                <w:b w:val="0"/>
                <w:bCs w:val="0"/>
                <w:color w:val="auto"/>
                <w:kern w:val="0"/>
                <w:sz w:val="22"/>
                <w:szCs w:val="22"/>
                <w:lang w:val="en-US" w:eastAsia="zh-CN" w:bidi="ar-SA"/>
              </w:rPr>
              <w:t>是否有被</w:t>
            </w:r>
            <w:r>
              <w:rPr>
                <w:rFonts w:hint="eastAsia" w:ascii="仿宋" w:hAnsi="仿宋" w:eastAsia="仿宋" w:cs="宋体"/>
                <w:color w:val="000000"/>
                <w:kern w:val="0"/>
                <w:sz w:val="22"/>
                <w:szCs w:val="22"/>
                <w:lang w:val="en-US" w:eastAsia="zh-CN" w:bidi="ar-SA"/>
              </w:rPr>
              <w:t>国（境）内外学校、科研机构、企业等组织采用。</w:t>
            </w:r>
          </w:p>
        </w:tc>
      </w:tr>
      <w:tr>
        <w:tblPrEx>
          <w:tblCellMar>
            <w:top w:w="0" w:type="dxa"/>
            <w:left w:w="108" w:type="dxa"/>
            <w:bottom w:w="0" w:type="dxa"/>
            <w:right w:w="108" w:type="dxa"/>
          </w:tblCellMar>
        </w:tblPrEx>
        <w:trPr>
          <w:trHeight w:val="90" w:hRule="atLeast"/>
          <w:jc w:val="center"/>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sz w:val="22"/>
                <w:szCs w:val="22"/>
              </w:rPr>
              <w:t>课程建设特色</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2"/>
                <w:szCs w:val="22"/>
              </w:rPr>
            </w:pPr>
            <w:r>
              <w:rPr>
                <w:rFonts w:hint="eastAsia" w:ascii="仿宋" w:hAnsi="仿宋" w:eastAsia="仿宋" w:cs="仿宋"/>
                <w:color w:val="000000"/>
                <w:sz w:val="22"/>
                <w:szCs w:val="22"/>
              </w:rPr>
              <w:t>课程建设特色</w:t>
            </w:r>
          </w:p>
        </w:tc>
        <w:tc>
          <w:tcPr>
            <w:tcW w:w="806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000000"/>
                <w:sz w:val="22"/>
                <w:szCs w:val="22"/>
              </w:rPr>
            </w:pPr>
            <w:r>
              <w:rPr>
                <w:rFonts w:hint="eastAsia" w:ascii="仿宋" w:hAnsi="仿宋" w:eastAsia="仿宋" w:cs="仿宋"/>
                <w:color w:val="auto"/>
                <w:sz w:val="22"/>
                <w:szCs w:val="22"/>
                <w:lang w:val="en-US" w:eastAsia="zh-CN"/>
              </w:rPr>
              <w:t>课程建设有亮点；课程特色有形成等。</w:t>
            </w:r>
          </w:p>
        </w:tc>
      </w:tr>
    </w:tbl>
    <w:p>
      <w:pPr>
        <w:adjustRightInd w:val="0"/>
        <w:snapToGrid w:val="0"/>
        <w:spacing w:line="308" w:lineRule="auto"/>
        <w:ind w:right="105" w:rightChars="50" w:firstLine="482" w:firstLineChars="200"/>
        <w:rPr>
          <w:rFonts w:ascii="仿宋" w:hAnsi="仿宋" w:eastAsia="仿宋" w:cs="仿宋"/>
          <w:b/>
          <w:sz w:val="24"/>
        </w:rPr>
      </w:pPr>
    </w:p>
    <w:p>
      <w:pPr>
        <w:adjustRightInd w:val="0"/>
        <w:snapToGrid w:val="0"/>
        <w:spacing w:line="308" w:lineRule="auto"/>
        <w:ind w:right="105" w:rightChars="50" w:firstLine="482" w:firstLineChars="200"/>
        <w:rPr>
          <w:rFonts w:hint="eastAsia" w:ascii="楷体" w:hAnsi="楷体" w:eastAsia="楷体" w:cs="楷体"/>
          <w:b/>
          <w:sz w:val="24"/>
        </w:rPr>
      </w:pPr>
      <w:r>
        <w:rPr>
          <w:rFonts w:hint="eastAsia" w:ascii="楷体" w:hAnsi="楷体" w:eastAsia="楷体" w:cs="楷体"/>
          <w:b/>
          <w:sz w:val="24"/>
        </w:rPr>
        <w:t>（二）标准链构建</w:t>
      </w:r>
    </w:p>
    <w:p>
      <w:pPr>
        <w:adjustRightInd w:val="0"/>
        <w:snapToGrid w:val="0"/>
        <w:spacing w:line="308" w:lineRule="auto"/>
        <w:ind w:right="105" w:rightChars="50" w:firstLine="480" w:firstLineChars="200"/>
        <w:rPr>
          <w:rFonts w:ascii="仿宋" w:hAnsi="仿宋" w:eastAsia="仿宋" w:cs="仿宋"/>
          <w:bCs/>
          <w:sz w:val="24"/>
        </w:rPr>
      </w:pPr>
      <w:r>
        <w:rPr>
          <w:rFonts w:hint="eastAsia" w:ascii="仿宋" w:hAnsi="仿宋" w:eastAsia="仿宋" w:cs="仿宋"/>
          <w:bCs/>
          <w:sz w:val="24"/>
        </w:rPr>
        <w:t>依据目标链，引入国家级、省级、市级、校级课程思政示范项目建设、精品在线开放课程建设等标准，对应形成标准链，具体如下表所示。</w:t>
      </w:r>
    </w:p>
    <w:p>
      <w:pPr>
        <w:adjustRightInd w:val="0"/>
        <w:snapToGrid w:val="0"/>
        <w:spacing w:line="308" w:lineRule="auto"/>
        <w:ind w:right="105" w:rightChars="50"/>
        <w:jc w:val="center"/>
        <w:rPr>
          <w:rFonts w:ascii="仿宋" w:hAnsi="仿宋" w:eastAsia="仿宋" w:cs="仿宋"/>
          <w:b/>
          <w:sz w:val="24"/>
        </w:rPr>
      </w:pPr>
      <w:r>
        <w:rPr>
          <w:rFonts w:hint="eastAsia" w:ascii="仿宋" w:hAnsi="仿宋" w:eastAsia="仿宋" w:cs="仿宋"/>
          <w:b/>
          <w:sz w:val="24"/>
          <w:lang w:val="en-US" w:eastAsia="zh-CN"/>
        </w:rPr>
        <w:t>课程</w:t>
      </w:r>
      <w:r>
        <w:rPr>
          <w:rFonts w:hint="eastAsia" w:ascii="仿宋" w:hAnsi="仿宋" w:eastAsia="仿宋" w:cs="仿宋"/>
          <w:b/>
          <w:sz w:val="24"/>
        </w:rPr>
        <w:t>建设标准链</w:t>
      </w:r>
    </w:p>
    <w:tbl>
      <w:tblPr>
        <w:tblStyle w:val="9"/>
        <w:tblW w:w="9600" w:type="dxa"/>
        <w:jc w:val="center"/>
        <w:tblLayout w:type="autofit"/>
        <w:tblCellMar>
          <w:top w:w="0" w:type="dxa"/>
          <w:left w:w="108" w:type="dxa"/>
          <w:bottom w:w="0" w:type="dxa"/>
          <w:right w:w="108" w:type="dxa"/>
        </w:tblCellMar>
      </w:tblPr>
      <w:tblGrid>
        <w:gridCol w:w="1155"/>
        <w:gridCol w:w="8445"/>
      </w:tblGrid>
      <w:tr>
        <w:tblPrEx>
          <w:tblCellMar>
            <w:top w:w="0" w:type="dxa"/>
            <w:left w:w="108" w:type="dxa"/>
            <w:bottom w:w="0" w:type="dxa"/>
            <w:right w:w="108" w:type="dxa"/>
          </w:tblCellMar>
        </w:tblPrEx>
        <w:trPr>
          <w:trHeight w:val="240" w:hRule="atLeast"/>
          <w:jc w:val="center"/>
        </w:trPr>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b/>
                <w:bCs/>
                <w:color w:val="000000"/>
                <w:sz w:val="20"/>
                <w:szCs w:val="20"/>
              </w:rPr>
            </w:pPr>
            <w:r>
              <w:rPr>
                <w:rFonts w:hint="eastAsia" w:ascii="仿宋" w:hAnsi="仿宋" w:eastAsia="仿宋" w:cs="仿宋"/>
                <w:b/>
                <w:bCs/>
                <w:color w:val="000000"/>
                <w:sz w:val="20"/>
                <w:szCs w:val="20"/>
              </w:rPr>
              <w:t>主要维度</w:t>
            </w: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center"/>
              <w:textAlignment w:val="top"/>
              <w:rPr>
                <w:rFonts w:ascii="仿宋" w:hAnsi="仿宋" w:eastAsia="仿宋" w:cs="仿宋"/>
                <w:b/>
                <w:bCs/>
                <w:color w:val="000000"/>
                <w:sz w:val="20"/>
                <w:szCs w:val="20"/>
              </w:rPr>
            </w:pPr>
            <w:r>
              <w:rPr>
                <w:rFonts w:hint="eastAsia" w:ascii="仿宋" w:hAnsi="仿宋" w:eastAsia="仿宋" w:cs="仿宋"/>
                <w:b/>
                <w:bCs/>
                <w:color w:val="000000"/>
                <w:kern w:val="0"/>
                <w:sz w:val="20"/>
                <w:szCs w:val="20"/>
              </w:rPr>
              <w:t>相关标准</w:t>
            </w:r>
          </w:p>
        </w:tc>
      </w:tr>
      <w:tr>
        <w:tblPrEx>
          <w:tblCellMar>
            <w:top w:w="0" w:type="dxa"/>
            <w:left w:w="108" w:type="dxa"/>
            <w:bottom w:w="0" w:type="dxa"/>
            <w:right w:w="108" w:type="dxa"/>
          </w:tblCellMar>
        </w:tblPrEx>
        <w:trPr>
          <w:trHeight w:val="240" w:hRule="atLeast"/>
          <w:jc w:val="center"/>
        </w:trPr>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rPr>
              <w:t>课程思政示范项目建设</w:t>
            </w:r>
            <w:r>
              <w:rPr>
                <w:rFonts w:hint="eastAsia" w:ascii="仿宋" w:hAnsi="仿宋" w:eastAsia="仿宋" w:cs="仿宋"/>
                <w:color w:val="000000"/>
                <w:sz w:val="20"/>
                <w:szCs w:val="20"/>
                <w:lang w:val="en-US" w:eastAsia="zh-CN"/>
              </w:rPr>
              <w:t>标准</w:t>
            </w:r>
          </w:p>
        </w:tc>
        <w:tc>
          <w:tcPr>
            <w:tcW w:w="8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8" w:lineRule="auto"/>
              <w:ind w:firstLine="400" w:firstLineChars="200"/>
              <w:jc w:val="left"/>
              <w:textAlignment w:val="center"/>
              <w:rPr>
                <w:rFonts w:hint="eastAsia" w:ascii="仿宋" w:hAnsi="仿宋" w:eastAsia="仿宋" w:cs="仿宋"/>
                <w:color w:val="000000"/>
                <w:sz w:val="20"/>
                <w:szCs w:val="20"/>
              </w:rPr>
            </w:pPr>
            <w:r>
              <w:rPr>
                <w:rFonts w:hint="eastAsia" w:ascii="仿宋" w:hAnsi="仿宋" w:eastAsia="仿宋" w:cs="仿宋"/>
                <w:color w:val="000000"/>
                <w:sz w:val="20"/>
                <w:szCs w:val="20"/>
              </w:rPr>
              <w:t>1.课程已纳入人才培养方案或专业考试计划，实施学分管理，并至少经过两个学期或两个教学周期的建设和完善。</w:t>
            </w:r>
          </w:p>
          <w:p>
            <w:pPr>
              <w:keepNext w:val="0"/>
              <w:keepLines w:val="0"/>
              <w:pageBreakBefore w:val="0"/>
              <w:widowControl/>
              <w:kinsoku/>
              <w:wordWrap/>
              <w:overflowPunct/>
              <w:topLinePunct w:val="0"/>
              <w:autoSpaceDE/>
              <w:autoSpaceDN/>
              <w:bidi w:val="0"/>
              <w:adjustRightInd/>
              <w:snapToGrid/>
              <w:spacing w:line="308" w:lineRule="auto"/>
              <w:ind w:firstLine="400" w:firstLineChars="200"/>
              <w:jc w:val="left"/>
              <w:textAlignment w:val="center"/>
              <w:rPr>
                <w:rFonts w:hint="eastAsia" w:ascii="仿宋" w:hAnsi="仿宋" w:eastAsia="仿宋" w:cs="仿宋"/>
                <w:color w:val="000000"/>
                <w:sz w:val="20"/>
                <w:szCs w:val="20"/>
              </w:rPr>
            </w:pPr>
            <w:r>
              <w:rPr>
                <w:rFonts w:hint="eastAsia" w:ascii="仿宋" w:hAnsi="仿宋" w:eastAsia="仿宋" w:cs="仿宋"/>
                <w:color w:val="000000"/>
                <w:sz w:val="20"/>
                <w:szCs w:val="20"/>
              </w:rPr>
              <w:t>2.课程准确把握“坚定学生理想信念，教育学生爱党、爱国、爱社会主义、爱人民、爱集体”主线，结合所在学科专业、所属课程类型的育人要求和特点，深入挖掘蕴含的思政教育资源，优化课程思政内容供给。</w:t>
            </w:r>
          </w:p>
          <w:p>
            <w:pPr>
              <w:keepNext w:val="0"/>
              <w:keepLines w:val="0"/>
              <w:pageBreakBefore w:val="0"/>
              <w:widowControl/>
              <w:kinsoku/>
              <w:wordWrap/>
              <w:overflowPunct/>
              <w:topLinePunct w:val="0"/>
              <w:autoSpaceDE/>
              <w:autoSpaceDN/>
              <w:bidi w:val="0"/>
              <w:adjustRightInd/>
              <w:snapToGrid/>
              <w:spacing w:line="308" w:lineRule="auto"/>
              <w:ind w:firstLine="400" w:firstLineChars="200"/>
              <w:jc w:val="left"/>
              <w:textAlignment w:val="center"/>
              <w:rPr>
                <w:rFonts w:hint="eastAsia" w:ascii="仿宋" w:hAnsi="仿宋" w:eastAsia="仿宋" w:cs="仿宋"/>
                <w:color w:val="000000"/>
                <w:sz w:val="20"/>
                <w:szCs w:val="20"/>
              </w:rPr>
            </w:pPr>
            <w:r>
              <w:rPr>
                <w:rFonts w:hint="eastAsia" w:ascii="仿宋" w:hAnsi="仿宋" w:eastAsia="仿宋" w:cs="仿宋"/>
                <w:color w:val="000000"/>
                <w:sz w:val="20"/>
                <w:szCs w:val="20"/>
              </w:rPr>
              <w:t>3.课程注重体现学校办学定位和专业特色，注重价值塑造、知识传授与能力培养相统一，科学设计课程目标和教案课件，将思政教育有机融入课程教学，达到润物无声的育人效果。</w:t>
            </w:r>
          </w:p>
          <w:p>
            <w:pPr>
              <w:keepNext w:val="0"/>
              <w:keepLines w:val="0"/>
              <w:pageBreakBefore w:val="0"/>
              <w:widowControl/>
              <w:kinsoku/>
              <w:wordWrap/>
              <w:overflowPunct/>
              <w:topLinePunct w:val="0"/>
              <w:autoSpaceDE/>
              <w:autoSpaceDN/>
              <w:bidi w:val="0"/>
              <w:adjustRightInd/>
              <w:snapToGrid/>
              <w:spacing w:line="308" w:lineRule="auto"/>
              <w:ind w:firstLine="400" w:firstLineChars="200"/>
              <w:jc w:val="left"/>
              <w:textAlignment w:val="center"/>
              <w:rPr>
                <w:rFonts w:hint="eastAsia" w:ascii="仿宋" w:hAnsi="仿宋" w:eastAsia="仿宋" w:cs="仿宋"/>
                <w:color w:val="000000"/>
                <w:sz w:val="20"/>
                <w:szCs w:val="20"/>
              </w:rPr>
            </w:pPr>
            <w:r>
              <w:rPr>
                <w:rFonts w:hint="eastAsia" w:ascii="仿宋" w:hAnsi="仿宋" w:eastAsia="仿宋" w:cs="仿宋"/>
                <w:color w:val="000000"/>
                <w:sz w:val="20"/>
                <w:szCs w:val="20"/>
              </w:rPr>
              <w:t>4.课程注重课程思政建设模式创新，教学内容体现思想性、前沿性与时代性，教学方法体现先进性、互动性与针对性，形成可供同类课程借鉴共享的经验、成果和模式。</w:t>
            </w:r>
          </w:p>
          <w:p>
            <w:pPr>
              <w:keepNext w:val="0"/>
              <w:keepLines w:val="0"/>
              <w:pageBreakBefore w:val="0"/>
              <w:widowControl/>
              <w:kinsoku/>
              <w:wordWrap/>
              <w:overflowPunct/>
              <w:topLinePunct w:val="0"/>
              <w:autoSpaceDE/>
              <w:autoSpaceDN/>
              <w:bidi w:val="0"/>
              <w:adjustRightInd/>
              <w:snapToGrid/>
              <w:spacing w:line="308" w:lineRule="auto"/>
              <w:ind w:firstLine="400" w:firstLineChars="200"/>
              <w:jc w:val="left"/>
              <w:textAlignment w:val="center"/>
              <w:rPr>
                <w:rFonts w:hint="eastAsia" w:ascii="仿宋" w:hAnsi="仿宋" w:eastAsia="仿宋" w:cs="仿宋"/>
                <w:color w:val="000000"/>
                <w:sz w:val="20"/>
                <w:szCs w:val="20"/>
              </w:rPr>
            </w:pPr>
            <w:r>
              <w:rPr>
                <w:rFonts w:hint="eastAsia" w:ascii="仿宋" w:hAnsi="仿宋" w:eastAsia="仿宋" w:cs="仿宋"/>
                <w:color w:val="000000"/>
                <w:sz w:val="20"/>
                <w:szCs w:val="20"/>
              </w:rPr>
              <w:t>5.课程可由一名教师讲授，也可由教学团队共同讲授。入选示范课程相应授课教师、团队自动认定为课程思政教学名师和教学团队，教学名师和教学团队不需单独申报。</w:t>
            </w:r>
          </w:p>
          <w:p>
            <w:pPr>
              <w:keepNext w:val="0"/>
              <w:keepLines w:val="0"/>
              <w:pageBreakBefore w:val="0"/>
              <w:widowControl/>
              <w:kinsoku/>
              <w:wordWrap/>
              <w:overflowPunct/>
              <w:topLinePunct w:val="0"/>
              <w:autoSpaceDE/>
              <w:autoSpaceDN/>
              <w:bidi w:val="0"/>
              <w:adjustRightInd/>
              <w:snapToGrid/>
              <w:spacing w:line="308" w:lineRule="auto"/>
              <w:ind w:firstLine="400" w:firstLineChars="200"/>
              <w:jc w:val="left"/>
              <w:textAlignment w:val="center"/>
              <w:rPr>
                <w:rFonts w:hint="eastAsia" w:ascii="仿宋" w:hAnsi="仿宋" w:eastAsia="仿宋" w:cs="仿宋"/>
                <w:color w:val="000000"/>
                <w:sz w:val="20"/>
                <w:szCs w:val="20"/>
              </w:rPr>
            </w:pPr>
            <w:r>
              <w:rPr>
                <w:rFonts w:hint="eastAsia" w:ascii="仿宋" w:hAnsi="仿宋" w:eastAsia="仿宋" w:cs="仿宋"/>
                <w:color w:val="000000"/>
                <w:sz w:val="20"/>
                <w:szCs w:val="20"/>
              </w:rPr>
              <w:t>6.课程授课教师政治立场坚定，师德师风良好。课程负责人具有高级职称，能够准确把握本课程开展课程思政建设的方向和重点，并融入课程教学全过程。课程教学团队人员结构合理，任务分工明确，集体教研制度完善且有效实施，经常性开展课程思政建设教学研究和交流，课程思政建设整体水平高。</w:t>
            </w:r>
          </w:p>
          <w:p>
            <w:pPr>
              <w:keepNext w:val="0"/>
              <w:keepLines w:val="0"/>
              <w:pageBreakBefore w:val="0"/>
              <w:widowControl/>
              <w:kinsoku/>
              <w:wordWrap/>
              <w:overflowPunct/>
              <w:topLinePunct w:val="0"/>
              <w:autoSpaceDE/>
              <w:autoSpaceDN/>
              <w:bidi w:val="0"/>
              <w:adjustRightInd/>
              <w:snapToGrid/>
              <w:spacing w:line="308" w:lineRule="auto"/>
              <w:ind w:firstLine="400" w:firstLineChars="200"/>
              <w:jc w:val="left"/>
              <w:textAlignment w:val="center"/>
              <w:rPr>
                <w:rFonts w:hint="eastAsia" w:ascii="仿宋" w:hAnsi="仿宋" w:eastAsia="仿宋" w:cs="仿宋"/>
                <w:color w:val="000000"/>
                <w:sz w:val="20"/>
                <w:szCs w:val="20"/>
              </w:rPr>
            </w:pPr>
            <w:r>
              <w:rPr>
                <w:rFonts w:hint="eastAsia" w:ascii="仿宋" w:hAnsi="仿宋" w:eastAsia="仿宋" w:cs="仿宋"/>
                <w:color w:val="000000"/>
                <w:sz w:val="20"/>
                <w:szCs w:val="20"/>
              </w:rPr>
              <w:t>7.课程考核方式和评价办法完善，育人效果显著，学生评教结果优秀，校内外同行专家评价良好，形成较高水平的课程思政展示成果，具有良好的示范辐射作用。</w:t>
            </w:r>
          </w:p>
          <w:p>
            <w:pPr>
              <w:keepNext w:val="0"/>
              <w:keepLines w:val="0"/>
              <w:pageBreakBefore w:val="0"/>
              <w:widowControl/>
              <w:kinsoku/>
              <w:wordWrap/>
              <w:overflowPunct/>
              <w:topLinePunct w:val="0"/>
              <w:autoSpaceDE/>
              <w:autoSpaceDN/>
              <w:bidi w:val="0"/>
              <w:adjustRightInd/>
              <w:snapToGrid/>
              <w:spacing w:line="308" w:lineRule="auto"/>
              <w:ind w:firstLine="400" w:firstLineChars="200"/>
              <w:jc w:val="left"/>
              <w:textAlignment w:val="center"/>
              <w:rPr>
                <w:rFonts w:ascii="仿宋" w:hAnsi="仿宋" w:eastAsia="仿宋" w:cs="仿宋"/>
                <w:color w:val="000000"/>
                <w:sz w:val="20"/>
                <w:szCs w:val="20"/>
              </w:rPr>
            </w:pPr>
            <w:r>
              <w:rPr>
                <w:rFonts w:hint="eastAsia" w:ascii="仿宋" w:hAnsi="仿宋" w:eastAsia="仿宋" w:cs="仿宋"/>
                <w:color w:val="000000"/>
                <w:sz w:val="20"/>
                <w:szCs w:val="20"/>
              </w:rPr>
              <w:t>8.职业教育课程要体现职业教育类型特征，注重德技并修、育训结合，有机融入劳动教育、工匠精神、职业道德、职业精神和职业规范等内容；普通本科课程要坚持以本为本，聚焦专业特点和育人要求，适应创新型复合型应用型人才培养需要，推动专业教育与思政教育紧密融合；研究生课程要以培养高层次创新人才为核心，突出科研育人；继续教育课程要充分考虑成人在职学习的特点，注重发挥信息技术优势，面向终身学习，培养学习者立足岗位的创新意识与责任担当。</w:t>
            </w:r>
          </w:p>
        </w:tc>
      </w:tr>
      <w:tr>
        <w:tblPrEx>
          <w:tblCellMar>
            <w:top w:w="0" w:type="dxa"/>
            <w:left w:w="108" w:type="dxa"/>
            <w:bottom w:w="0" w:type="dxa"/>
            <w:right w:w="108" w:type="dxa"/>
          </w:tblCellMar>
        </w:tblPrEx>
        <w:trPr>
          <w:trHeight w:val="240" w:hRule="atLeast"/>
          <w:jc w:val="center"/>
        </w:trPr>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hint="eastAsia" w:ascii="仿宋" w:hAnsi="仿宋" w:eastAsia="仿宋" w:cs="仿宋"/>
                <w:color w:val="000000"/>
                <w:sz w:val="20"/>
                <w:szCs w:val="20"/>
                <w:lang w:eastAsia="zh-CN"/>
              </w:rPr>
            </w:pPr>
            <w:r>
              <w:rPr>
                <w:rFonts w:hint="eastAsia" w:ascii="仿宋" w:hAnsi="仿宋" w:eastAsia="仿宋" w:cs="仿宋"/>
                <w:color w:val="000000"/>
                <w:sz w:val="20"/>
                <w:szCs w:val="20"/>
              </w:rPr>
              <w:t>职业教育精品在线开放课程建设</w:t>
            </w:r>
            <w:r>
              <w:rPr>
                <w:rFonts w:hint="eastAsia" w:ascii="仿宋" w:hAnsi="仿宋" w:eastAsia="仿宋" w:cs="仿宋"/>
                <w:color w:val="000000"/>
                <w:sz w:val="20"/>
                <w:szCs w:val="20"/>
                <w:lang w:val="en-US" w:eastAsia="zh-CN"/>
              </w:rPr>
              <w:t>标准</w:t>
            </w:r>
          </w:p>
        </w:tc>
        <w:tc>
          <w:tcPr>
            <w:tcW w:w="8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一、课程建设总体要求</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1. 教学内容与资源</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省级精品在线开放课程应能够涵盖课程标准（或课程教学基本要求）规定内容、覆盖该课程所有知识点和岗位技能点，包含完整的教学内容和教学活动。资源包括文本、图形（图像）、音视频和虚拟仿真等，应控制文本和图形（图像）资源在总资源中的占比，提高微课程、动画、虚拟仿真等资源比例，每个微课程视频以5-15分钟时长为宜，针对各模块知识点（技能点）或专题应设置内嵌测试的作业题或讨论题，以帮助学习者掌握学习内容或测试学习者学习效果。每门课程应有负责人介绍、课程介绍、课程标准、预备知识、教学辅导、参考资料、考核方式、在线作业、在线题库和在线答疑等。申报学校应依据技术领域和职业岗位（群）的任职要求，参照相关职业资格标准，从职业岗位能力分析出发，基于工作过程系统等先进职教理念开发课程体系和改革教学内容，并将专业建设、课程改革成果应用到省级精品在线开放课程。</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2. 教学设计与方法</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要遵循有效教学的基本规律，对接“二元制”和“现代学徒制”培养模式，结合在线开放课程教学的特征与需求进行整体的教学设计。根据预设教学目标、课程特点、学生认知规律及教学方式，设置教学情境，颗粒化组织教学内容及资源。围绕教学目标精心设计教学活动，科学规划在线学习资源，明确学业评价策略和学习激励措施。课程设计、教学安排和呈现方式符合学习者移动学习和混合式教学的需求。开展在线学习与课堂教学相结合、翻转课堂等多种方式的课堂教学模式，优先支持具有混合式学习等改革实践经验的课程。</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3. 教学活动与评价</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要重视学习任务与活动设计，积极开展案例式、混合式、探究式等多种教学模式的学习，通过网页插入式在线测试、即时网上辅导反馈、线上线下讨论、网上作业提交和批改、网上社区讨论等，促进师生之间、学生之间进行资源共享、问题交流和协作学习。</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要促进建立多元化学习评价体系，探索线上和线下融合，过程性评价与终结性评价相结合的多元化考核评价模式，促进学生自主性学习、过程性学习和体验式学习。</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4. 教学效果与影响</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要注重对教学效果的跟踪评价并开展教学研究工作。基于大数据信息采集分析，全程记录和跟踪教师的教学和学生的学习过程、内容、反馈，全面跟踪和掌握每个学生的个性特点、学习行为，改进学校及教师的教学质量，促进因材施教。</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充分发挥课程共享作用，推进在线开放课程学分认定和学分管理制度创新。支持各院校之间在合作、共赢、协议的基础上实现在线开放共享课程的互认。课程的初始学分由推荐该课程的院校设定，</w:t>
            </w:r>
            <w:r>
              <w:rPr>
                <w:rFonts w:hint="eastAsia" w:ascii="仿宋" w:hAnsi="仿宋" w:eastAsia="仿宋" w:cs="仿宋"/>
                <w:sz w:val="20"/>
                <w:szCs w:val="20"/>
                <w:lang w:eastAsia="zh-CN"/>
              </w:rPr>
              <w:t>其他</w:t>
            </w:r>
            <w:r>
              <w:rPr>
                <w:rFonts w:hint="eastAsia" w:ascii="仿宋" w:hAnsi="仿宋" w:eastAsia="仿宋" w:cs="仿宋"/>
                <w:sz w:val="20"/>
                <w:szCs w:val="20"/>
              </w:rPr>
              <w:t>院校可在双方协议的基础上，根据本校专业设置和课程学分设置标准自行认定学分。</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5. 团队支持与服务</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课程建设负责人应为院校正式聘用，具有丰富的教学经验和较高的学术造诣的教师，课程组成员均在教学一线长期承担本课程教学任务。支持和鼓励教学名师、知名专家主讲开放课程。通过在线开放课程建设，形成一支教学、辅导、设计和技术支持等结构合理、人员稳定、教学水平高、教学效果好、资源设计和制作能力强的优秀课程教学团队。</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6. 信息安全及知识产权保障</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严格遵守国家网络与信息安全管理规范，依法依规开展教学活动，实施对课程内容、讨论内容、学习过程内容的有效监管，防范和及时制止网络有害信息的传播。重视版权和知识产权问题，构建课程内容所使用的图片、音视频等素材应注明出处。相关院校、课程建设团队均须签订平等互利的知识产权保障协议，明确各方权利和义务，切实保障各方权益。</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二、课程视频制作规范</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（一）视频内容</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1.屏幕图像的构图合理，画面主体突出。人像及肢体动作以及配合讲授选用的板书、画板、教具实物、模型和实验设备等均不能超出镜头所及范围。</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2.演播室使用的背景采用彩色喷绘或电脑虚拟、实景等背景。背景的颜色、图案</w:t>
            </w:r>
            <w:r>
              <w:rPr>
                <w:rFonts w:hint="eastAsia" w:ascii="仿宋" w:hAnsi="仿宋" w:eastAsia="仿宋" w:cs="仿宋"/>
                <w:sz w:val="20"/>
                <w:szCs w:val="20"/>
                <w:lang w:eastAsia="zh-CN"/>
              </w:rPr>
              <w:t>不宜过多</w:t>
            </w:r>
            <w:r>
              <w:rPr>
                <w:rFonts w:hint="eastAsia" w:ascii="仿宋" w:hAnsi="仿宋" w:eastAsia="仿宋" w:cs="仿宋"/>
                <w:sz w:val="20"/>
                <w:szCs w:val="20"/>
              </w:rPr>
              <w:t>，应保持静态，画面应简洁、明快，有利于营造课堂气氛。</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3.摄像镜头应保持与主讲教师目光平视的角度。主讲教师不应较长时间仰视或俯视。</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4.使用资料、图片、外景实拍、实验和表演等形象化教学手段，应符合教学内容要求，与讲授内容联系紧密，手段选用恰当。</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5.选用影视作品或自拍素材，应注明素材来源。影视作品或自拍素材中涉及人物访谈内容时，除应加注人物介绍外，还应采用滚动式同声字幕。</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6.选用的资料、图片等素材画面应清楚，对于历史资料、图片应进行再加工。选用的资料、图片等素材应注明素材来源及原始信息（如字画的作品、生卒年月，影视片断的作品名称、创作年代等信息）。</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7.动画的设计与使用，要与课程内容相贴切，能够发挥良好的教学效果。</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 xml:space="preserve"> 8.动画的实现须流畅、合理、图像清晰，具有较强的可视性。</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（二）视频技术规格</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1.视频信号源</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（1）稳定性：全片图像同步性能稳定，无失步现象，CTL同步控制信号必须连续：图像无抖动跳跃，色彩无突变，编辑点处图像稳定。</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（2）信噪比：图像信噪比不低于55dB，无明显杂波。</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（3）色调：白平衡正确，无明显偏色，多机拍摄的镜头衔接处无明显色差。</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（4）视频电平：视频全讯号幅度为1Ⅴp-p，最大不超过1.1Ⅴ p-p。其中，消隐电平为0V时，白电平幅度0.7Ⅴp-p，同步信号</w:t>
            </w:r>
            <w:r>
              <w:rPr>
                <w:rFonts w:hint="eastAsia" w:ascii="仿宋" w:hAnsi="仿宋" w:eastAsia="仿宋" w:cs="仿宋"/>
                <w:sz w:val="20"/>
                <w:szCs w:val="20"/>
                <w:lang w:eastAsia="zh-CN"/>
              </w:rPr>
              <w:t>－</w:t>
            </w:r>
            <w:r>
              <w:rPr>
                <w:rFonts w:hint="eastAsia" w:ascii="仿宋" w:hAnsi="仿宋" w:eastAsia="仿宋" w:cs="仿宋"/>
                <w:sz w:val="20"/>
                <w:szCs w:val="20"/>
              </w:rPr>
              <w:t xml:space="preserve">0.3V，色同步信号幅度0.3V p-p </w:t>
            </w:r>
            <w:r>
              <w:rPr>
                <w:rFonts w:hint="eastAsia" w:ascii="仿宋" w:hAnsi="仿宋" w:eastAsia="仿宋" w:cs="仿宋"/>
                <w:sz w:val="20"/>
                <w:szCs w:val="20"/>
                <w:lang w:eastAsia="zh-CN"/>
              </w:rPr>
              <w:t>（</w:t>
            </w:r>
            <w:r>
              <w:rPr>
                <w:rFonts w:hint="eastAsia" w:ascii="仿宋" w:hAnsi="仿宋" w:eastAsia="仿宋" w:cs="仿宋"/>
                <w:sz w:val="20"/>
                <w:szCs w:val="20"/>
              </w:rPr>
              <w:t>以消隐线上下对称</w:t>
            </w:r>
            <w:r>
              <w:rPr>
                <w:rFonts w:hint="eastAsia" w:ascii="仿宋" w:hAnsi="仿宋" w:eastAsia="仿宋" w:cs="仿宋"/>
                <w:sz w:val="20"/>
                <w:szCs w:val="20"/>
                <w:lang w:eastAsia="zh-CN"/>
              </w:rPr>
              <w:t>）</w:t>
            </w:r>
            <w:r>
              <w:rPr>
                <w:rFonts w:hint="eastAsia" w:ascii="仿宋" w:hAnsi="仿宋" w:eastAsia="仿宋" w:cs="仿宋"/>
                <w:sz w:val="20"/>
                <w:szCs w:val="20"/>
              </w:rPr>
              <w:t>，全片一致。</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2.音频信号源</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（1）声道：中文内容音频信号记录于第1声道，音乐、音效、同期声记录于第2声道，若有其他文字解说记录于第3声道</w:t>
            </w:r>
            <w:r>
              <w:rPr>
                <w:rFonts w:hint="eastAsia" w:ascii="仿宋" w:hAnsi="仿宋" w:eastAsia="仿宋" w:cs="仿宋"/>
                <w:sz w:val="20"/>
                <w:szCs w:val="20"/>
                <w:lang w:eastAsia="zh-CN"/>
              </w:rPr>
              <w:t>（</w:t>
            </w:r>
            <w:r>
              <w:rPr>
                <w:rFonts w:hint="eastAsia" w:ascii="仿宋" w:hAnsi="仿宋" w:eastAsia="仿宋" w:cs="仿宋"/>
                <w:sz w:val="20"/>
                <w:szCs w:val="20"/>
              </w:rPr>
              <w:t>如录音设备无第3声道</w:t>
            </w:r>
            <w:r>
              <w:rPr>
                <w:rFonts w:hint="eastAsia" w:ascii="仿宋" w:hAnsi="仿宋" w:eastAsia="仿宋" w:cs="仿宋"/>
                <w:sz w:val="20"/>
                <w:szCs w:val="20"/>
                <w:lang w:eastAsia="zh-CN"/>
              </w:rPr>
              <w:t>，</w:t>
            </w:r>
            <w:r>
              <w:rPr>
                <w:rFonts w:hint="eastAsia" w:ascii="仿宋" w:hAnsi="仿宋" w:eastAsia="仿宋" w:cs="仿宋"/>
                <w:sz w:val="20"/>
                <w:szCs w:val="20"/>
              </w:rPr>
              <w:t>则录于第2声道</w:t>
            </w:r>
            <w:r>
              <w:rPr>
                <w:rFonts w:hint="eastAsia" w:ascii="仿宋" w:hAnsi="仿宋" w:eastAsia="仿宋" w:cs="仿宋"/>
                <w:sz w:val="20"/>
                <w:szCs w:val="20"/>
                <w:lang w:eastAsia="zh-CN"/>
              </w:rPr>
              <w:t>）</w:t>
            </w:r>
            <w:r>
              <w:rPr>
                <w:rFonts w:hint="eastAsia" w:ascii="仿宋" w:hAnsi="仿宋" w:eastAsia="仿宋" w:cs="仿宋"/>
                <w:sz w:val="20"/>
                <w:szCs w:val="20"/>
              </w:rPr>
              <w:t>。</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（2）电平指标：-2db —— -8db声音应无明显失真、放音过冲、过弱。</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（3）音频信噪比不低于48db。</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（4）声音和画面要求同步，无交流声或其他杂音等缺陷。</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（5）伴音清晰、饱满、圆润，无失真、噪声杂音干扰、音量忽大忽小现象。解说声与现场声无明显比例失调，解说声与背景音乐无明显比例失调。</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3.视频压缩格式及技术参数</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（1）视频压缩采用H.264/AVC (MPEG-4 Part10</w:t>
            </w:r>
            <w:r>
              <w:rPr>
                <w:rFonts w:hint="eastAsia" w:ascii="仿宋" w:hAnsi="仿宋" w:eastAsia="仿宋" w:cs="仿宋"/>
                <w:sz w:val="20"/>
                <w:szCs w:val="20"/>
                <w:lang w:eastAsia="zh-CN"/>
              </w:rPr>
              <w:t>)</w:t>
            </w:r>
            <w:r>
              <w:rPr>
                <w:rFonts w:hint="eastAsia" w:ascii="仿宋" w:hAnsi="仿宋" w:eastAsia="仿宋" w:cs="仿宋"/>
                <w:sz w:val="20"/>
                <w:szCs w:val="20"/>
              </w:rPr>
              <w:t>编码、使用二次编码、不包含字幕的MP4格式。</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（2）视频码流率：动态码流的最低码率不得低于1024Kb</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（3）视频分辨率</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前期采用高清16:9拍摄，设定为 1280×720或1920×1080。</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（4）视频画幅宽高比</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分辨率设定为1280×720或1920×1080的，选定 16:9</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（5）视频帧率为25帧/秒</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（6）扫描方式采用逐行扫描</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4.音频压缩格式及技术参数</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（1）音频压缩采用AAC(MPEG4 Part3</w:t>
            </w:r>
            <w:r>
              <w:rPr>
                <w:rFonts w:hint="eastAsia" w:ascii="仿宋" w:hAnsi="仿宋" w:eastAsia="仿宋" w:cs="仿宋"/>
                <w:sz w:val="20"/>
                <w:szCs w:val="20"/>
                <w:lang w:eastAsia="zh-CN"/>
              </w:rPr>
              <w:t>)</w:t>
            </w:r>
            <w:r>
              <w:rPr>
                <w:rFonts w:hint="eastAsia" w:ascii="仿宋" w:hAnsi="仿宋" w:eastAsia="仿宋" w:cs="仿宋"/>
                <w:sz w:val="20"/>
                <w:szCs w:val="20"/>
              </w:rPr>
              <w:t>格式</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 xml:space="preserve">（2）采样率48KHz </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 xml:space="preserve">（3）音频码流率128Kbps </w:t>
            </w:r>
            <w:r>
              <w:rPr>
                <w:rFonts w:hint="eastAsia" w:ascii="仿宋" w:hAnsi="仿宋" w:eastAsia="仿宋" w:cs="仿宋"/>
                <w:sz w:val="20"/>
                <w:szCs w:val="20"/>
                <w:lang w:eastAsia="zh-CN"/>
              </w:rPr>
              <w:t>（</w:t>
            </w:r>
            <w:r>
              <w:rPr>
                <w:rFonts w:hint="eastAsia" w:ascii="仿宋" w:hAnsi="仿宋" w:eastAsia="仿宋" w:cs="仿宋"/>
                <w:sz w:val="20"/>
                <w:szCs w:val="20"/>
              </w:rPr>
              <w:t>恒定</w:t>
            </w:r>
            <w:r>
              <w:rPr>
                <w:rFonts w:hint="eastAsia" w:ascii="仿宋" w:hAnsi="仿宋" w:eastAsia="仿宋" w:cs="仿宋"/>
                <w:sz w:val="20"/>
                <w:szCs w:val="20"/>
                <w:lang w:eastAsia="zh-CN"/>
              </w:rPr>
              <w:t>）</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（4）双声道，做混音处理。</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5.封装</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采用MP4封装</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（三）演示文稿（PPT）制作规范</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1.制作原则</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（1）演示文稿（PPT）要求集文字、图形、图像、声音以及视频等多种媒体元素于一体，一般不使用纯文字的演示文稿（PPT）。</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（2）页面设置要求符合高清格式比例，幻灯片大小为“全屏显示16：9”。</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（3）整体效果应风格统一、色彩协调、美观大方。</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2.字体与字号</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字体与字号参照下表：</w:t>
            </w:r>
          </w:p>
          <w:tbl>
            <w:tblPr>
              <w:tblStyle w:val="9"/>
              <w:tblpPr w:leftFromText="180" w:rightFromText="180" w:vertAnchor="text" w:horzAnchor="margin" w:tblpXSpec="center" w:tblpY="7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4"/>
              <w:gridCol w:w="1641"/>
              <w:gridCol w:w="1437"/>
              <w:gridCol w:w="1508"/>
              <w:gridCol w:w="1507"/>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keepNext w:val="0"/>
                    <w:keepLines w:val="0"/>
                    <w:pageBreakBefore w:val="0"/>
                    <w:widowControl w:val="0"/>
                    <w:kinsoku/>
                    <w:wordWrap/>
                    <w:overflowPunct/>
                    <w:topLinePunct w:val="0"/>
                    <w:autoSpaceDE/>
                    <w:autoSpaceDN/>
                    <w:bidi w:val="0"/>
                    <w:adjustRightInd/>
                    <w:spacing w:line="308" w:lineRule="auto"/>
                    <w:jc w:val="center"/>
                    <w:textAlignment w:val="auto"/>
                    <w:rPr>
                      <w:rFonts w:hint="eastAsia" w:ascii="仿宋" w:hAnsi="仿宋" w:eastAsia="仿宋" w:cs="仿宋"/>
                      <w:b/>
                      <w:sz w:val="20"/>
                      <w:szCs w:val="20"/>
                      <w:u w:val="none" w:color="000000"/>
                    </w:rPr>
                  </w:pPr>
                  <w:r>
                    <w:rPr>
                      <w:rFonts w:hint="eastAsia" w:ascii="仿宋" w:hAnsi="仿宋" w:eastAsia="仿宋" w:cs="仿宋"/>
                      <w:b/>
                      <w:sz w:val="20"/>
                      <w:szCs w:val="20"/>
                    </w:rPr>
                    <w:t>类型</w:t>
                  </w:r>
                </w:p>
              </w:tc>
              <w:tc>
                <w:tcPr>
                  <w:tcW w:w="1701" w:type="dxa"/>
                  <w:vAlign w:val="center"/>
                </w:tcPr>
                <w:p>
                  <w:pPr>
                    <w:keepNext w:val="0"/>
                    <w:keepLines w:val="0"/>
                    <w:pageBreakBefore w:val="0"/>
                    <w:widowControl w:val="0"/>
                    <w:kinsoku/>
                    <w:wordWrap/>
                    <w:overflowPunct/>
                    <w:topLinePunct w:val="0"/>
                    <w:autoSpaceDE/>
                    <w:autoSpaceDN/>
                    <w:bidi w:val="0"/>
                    <w:adjustRightInd/>
                    <w:spacing w:line="308" w:lineRule="auto"/>
                    <w:jc w:val="center"/>
                    <w:textAlignment w:val="auto"/>
                    <w:rPr>
                      <w:rFonts w:hint="eastAsia" w:ascii="仿宋" w:hAnsi="仿宋" w:eastAsia="仿宋" w:cs="仿宋"/>
                      <w:b/>
                      <w:sz w:val="20"/>
                      <w:szCs w:val="20"/>
                      <w:u w:val="none" w:color="000000"/>
                    </w:rPr>
                  </w:pPr>
                  <w:r>
                    <w:rPr>
                      <w:rFonts w:hint="eastAsia" w:ascii="仿宋" w:hAnsi="仿宋" w:eastAsia="仿宋" w:cs="仿宋"/>
                      <w:b/>
                      <w:sz w:val="20"/>
                      <w:szCs w:val="20"/>
                    </w:rPr>
                    <w:t>大标题</w:t>
                  </w:r>
                </w:p>
              </w:tc>
              <w:tc>
                <w:tcPr>
                  <w:tcW w:w="1485" w:type="dxa"/>
                  <w:vAlign w:val="center"/>
                </w:tcPr>
                <w:p>
                  <w:pPr>
                    <w:keepNext w:val="0"/>
                    <w:keepLines w:val="0"/>
                    <w:pageBreakBefore w:val="0"/>
                    <w:widowControl w:val="0"/>
                    <w:kinsoku/>
                    <w:wordWrap/>
                    <w:overflowPunct/>
                    <w:topLinePunct w:val="0"/>
                    <w:autoSpaceDE/>
                    <w:autoSpaceDN/>
                    <w:bidi w:val="0"/>
                    <w:adjustRightInd/>
                    <w:spacing w:line="308" w:lineRule="auto"/>
                    <w:jc w:val="center"/>
                    <w:textAlignment w:val="auto"/>
                    <w:rPr>
                      <w:rFonts w:hint="eastAsia" w:ascii="仿宋" w:hAnsi="仿宋" w:eastAsia="仿宋" w:cs="仿宋"/>
                      <w:b/>
                      <w:sz w:val="20"/>
                      <w:szCs w:val="20"/>
                      <w:u w:val="none" w:color="000000"/>
                    </w:rPr>
                  </w:pPr>
                  <w:r>
                    <w:rPr>
                      <w:rFonts w:hint="eastAsia" w:ascii="仿宋" w:hAnsi="仿宋" w:eastAsia="仿宋" w:cs="仿宋"/>
                      <w:b/>
                      <w:sz w:val="20"/>
                      <w:szCs w:val="20"/>
                    </w:rPr>
                    <w:t>主讲信息</w:t>
                  </w:r>
                </w:p>
              </w:tc>
              <w:tc>
                <w:tcPr>
                  <w:tcW w:w="1560" w:type="dxa"/>
                  <w:vAlign w:val="center"/>
                </w:tcPr>
                <w:p>
                  <w:pPr>
                    <w:keepNext w:val="0"/>
                    <w:keepLines w:val="0"/>
                    <w:pageBreakBefore w:val="0"/>
                    <w:widowControl w:val="0"/>
                    <w:kinsoku/>
                    <w:wordWrap/>
                    <w:overflowPunct/>
                    <w:topLinePunct w:val="0"/>
                    <w:autoSpaceDE/>
                    <w:autoSpaceDN/>
                    <w:bidi w:val="0"/>
                    <w:adjustRightInd/>
                    <w:spacing w:line="308" w:lineRule="auto"/>
                    <w:jc w:val="center"/>
                    <w:textAlignment w:val="auto"/>
                    <w:rPr>
                      <w:rFonts w:hint="eastAsia" w:ascii="仿宋" w:hAnsi="仿宋" w:eastAsia="仿宋" w:cs="仿宋"/>
                      <w:b/>
                      <w:sz w:val="20"/>
                      <w:szCs w:val="20"/>
                      <w:u w:val="none" w:color="000000"/>
                    </w:rPr>
                  </w:pPr>
                  <w:r>
                    <w:rPr>
                      <w:rFonts w:hint="eastAsia" w:ascii="仿宋" w:hAnsi="仿宋" w:eastAsia="仿宋" w:cs="仿宋"/>
                      <w:b/>
                      <w:sz w:val="20"/>
                      <w:szCs w:val="20"/>
                    </w:rPr>
                    <w:t>一级标题</w:t>
                  </w:r>
                </w:p>
              </w:tc>
              <w:tc>
                <w:tcPr>
                  <w:tcW w:w="1559" w:type="dxa"/>
                  <w:vAlign w:val="center"/>
                </w:tcPr>
                <w:p>
                  <w:pPr>
                    <w:keepNext w:val="0"/>
                    <w:keepLines w:val="0"/>
                    <w:pageBreakBefore w:val="0"/>
                    <w:widowControl w:val="0"/>
                    <w:kinsoku/>
                    <w:wordWrap/>
                    <w:overflowPunct/>
                    <w:topLinePunct w:val="0"/>
                    <w:autoSpaceDE/>
                    <w:autoSpaceDN/>
                    <w:bidi w:val="0"/>
                    <w:adjustRightInd/>
                    <w:spacing w:line="308" w:lineRule="auto"/>
                    <w:jc w:val="center"/>
                    <w:textAlignment w:val="auto"/>
                    <w:rPr>
                      <w:rFonts w:hint="eastAsia" w:ascii="仿宋" w:hAnsi="仿宋" w:eastAsia="仿宋" w:cs="仿宋"/>
                      <w:b/>
                      <w:sz w:val="20"/>
                      <w:szCs w:val="20"/>
                      <w:u w:val="none" w:color="000000"/>
                    </w:rPr>
                  </w:pPr>
                  <w:r>
                    <w:rPr>
                      <w:rFonts w:hint="eastAsia" w:ascii="仿宋" w:hAnsi="仿宋" w:eastAsia="仿宋" w:cs="仿宋"/>
                      <w:b/>
                      <w:sz w:val="20"/>
                      <w:szCs w:val="20"/>
                    </w:rPr>
                    <w:t>正  文</w:t>
                  </w:r>
                </w:p>
              </w:tc>
              <w:tc>
                <w:tcPr>
                  <w:tcW w:w="1384" w:type="dxa"/>
                  <w:vAlign w:val="center"/>
                </w:tcPr>
                <w:p>
                  <w:pPr>
                    <w:keepNext w:val="0"/>
                    <w:keepLines w:val="0"/>
                    <w:pageBreakBefore w:val="0"/>
                    <w:widowControl w:val="0"/>
                    <w:kinsoku/>
                    <w:wordWrap/>
                    <w:overflowPunct/>
                    <w:topLinePunct w:val="0"/>
                    <w:autoSpaceDE/>
                    <w:autoSpaceDN/>
                    <w:bidi w:val="0"/>
                    <w:adjustRightInd/>
                    <w:spacing w:line="308" w:lineRule="auto"/>
                    <w:jc w:val="center"/>
                    <w:textAlignment w:val="auto"/>
                    <w:rPr>
                      <w:rFonts w:hint="eastAsia" w:ascii="仿宋" w:hAnsi="仿宋" w:eastAsia="仿宋" w:cs="仿宋"/>
                      <w:b/>
                      <w:sz w:val="20"/>
                      <w:szCs w:val="20"/>
                      <w:u w:val="none" w:color="000000"/>
                    </w:rPr>
                  </w:pPr>
                  <w:r>
                    <w:rPr>
                      <w:rFonts w:hint="eastAsia" w:ascii="仿宋" w:hAnsi="仿宋" w:eastAsia="仿宋" w:cs="仿宋"/>
                      <w:b/>
                      <w:sz w:val="20"/>
                      <w:szCs w:val="20"/>
                    </w:rPr>
                    <w:t>字幕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keepNext w:val="0"/>
                    <w:keepLines w:val="0"/>
                    <w:pageBreakBefore w:val="0"/>
                    <w:widowControl w:val="0"/>
                    <w:kinsoku/>
                    <w:wordWrap/>
                    <w:overflowPunct/>
                    <w:topLinePunct w:val="0"/>
                    <w:autoSpaceDE/>
                    <w:autoSpaceDN/>
                    <w:bidi w:val="0"/>
                    <w:adjustRightInd/>
                    <w:spacing w:line="308" w:lineRule="auto"/>
                    <w:jc w:val="center"/>
                    <w:textAlignment w:val="auto"/>
                    <w:rPr>
                      <w:rFonts w:hint="eastAsia" w:ascii="仿宋" w:hAnsi="仿宋" w:eastAsia="仿宋" w:cs="仿宋"/>
                      <w:sz w:val="20"/>
                      <w:szCs w:val="20"/>
                      <w:u w:val="none" w:color="000000"/>
                    </w:rPr>
                  </w:pPr>
                  <w:r>
                    <w:rPr>
                      <w:rFonts w:hint="eastAsia" w:ascii="仿宋" w:hAnsi="仿宋" w:eastAsia="仿宋" w:cs="仿宋"/>
                      <w:sz w:val="20"/>
                      <w:szCs w:val="20"/>
                    </w:rPr>
                    <w:t>字体</w:t>
                  </w:r>
                </w:p>
              </w:tc>
              <w:tc>
                <w:tcPr>
                  <w:tcW w:w="1701" w:type="dxa"/>
                  <w:vAlign w:val="center"/>
                </w:tcPr>
                <w:p>
                  <w:pPr>
                    <w:keepNext w:val="0"/>
                    <w:keepLines w:val="0"/>
                    <w:pageBreakBefore w:val="0"/>
                    <w:widowControl w:val="0"/>
                    <w:kinsoku/>
                    <w:wordWrap/>
                    <w:overflowPunct/>
                    <w:topLinePunct w:val="0"/>
                    <w:autoSpaceDE/>
                    <w:autoSpaceDN/>
                    <w:bidi w:val="0"/>
                    <w:adjustRightInd/>
                    <w:spacing w:line="308" w:lineRule="auto"/>
                    <w:jc w:val="center"/>
                    <w:textAlignment w:val="auto"/>
                    <w:rPr>
                      <w:rFonts w:hint="eastAsia" w:ascii="仿宋" w:hAnsi="仿宋" w:eastAsia="仿宋" w:cs="仿宋"/>
                      <w:spacing w:val="-6"/>
                      <w:sz w:val="20"/>
                      <w:szCs w:val="20"/>
                      <w:u w:val="none" w:color="000000"/>
                    </w:rPr>
                  </w:pPr>
                  <w:r>
                    <w:rPr>
                      <w:rFonts w:hint="eastAsia" w:ascii="仿宋" w:hAnsi="仿宋" w:eastAsia="仿宋" w:cs="仿宋"/>
                      <w:spacing w:val="-6"/>
                      <w:sz w:val="20"/>
                      <w:szCs w:val="20"/>
                    </w:rPr>
                    <w:t>大黑、时尚中黑、大隶书</w:t>
                  </w:r>
                </w:p>
              </w:tc>
              <w:tc>
                <w:tcPr>
                  <w:tcW w:w="1485" w:type="dxa"/>
                  <w:vAlign w:val="center"/>
                </w:tcPr>
                <w:p>
                  <w:pPr>
                    <w:keepNext w:val="0"/>
                    <w:keepLines w:val="0"/>
                    <w:pageBreakBefore w:val="0"/>
                    <w:widowControl w:val="0"/>
                    <w:kinsoku/>
                    <w:wordWrap/>
                    <w:overflowPunct/>
                    <w:topLinePunct w:val="0"/>
                    <w:autoSpaceDE/>
                    <w:autoSpaceDN/>
                    <w:bidi w:val="0"/>
                    <w:adjustRightInd/>
                    <w:spacing w:line="308" w:lineRule="auto"/>
                    <w:jc w:val="center"/>
                    <w:textAlignment w:val="auto"/>
                    <w:rPr>
                      <w:rFonts w:hint="eastAsia" w:ascii="仿宋" w:hAnsi="仿宋" w:eastAsia="仿宋" w:cs="仿宋"/>
                      <w:spacing w:val="-6"/>
                      <w:sz w:val="20"/>
                      <w:szCs w:val="20"/>
                      <w:u w:val="none" w:color="000000"/>
                    </w:rPr>
                  </w:pPr>
                  <w:r>
                    <w:rPr>
                      <w:rFonts w:hint="eastAsia" w:ascii="仿宋" w:hAnsi="仿宋" w:eastAsia="仿宋" w:cs="仿宋"/>
                      <w:spacing w:val="-6"/>
                      <w:sz w:val="20"/>
                      <w:szCs w:val="20"/>
                    </w:rPr>
                    <w:t>黑体</w:t>
                  </w:r>
                </w:p>
              </w:tc>
              <w:tc>
                <w:tcPr>
                  <w:tcW w:w="1560" w:type="dxa"/>
                  <w:vAlign w:val="center"/>
                </w:tcPr>
                <w:p>
                  <w:pPr>
                    <w:keepNext w:val="0"/>
                    <w:keepLines w:val="0"/>
                    <w:pageBreakBefore w:val="0"/>
                    <w:widowControl w:val="0"/>
                    <w:kinsoku/>
                    <w:wordWrap/>
                    <w:overflowPunct/>
                    <w:topLinePunct w:val="0"/>
                    <w:autoSpaceDE/>
                    <w:autoSpaceDN/>
                    <w:bidi w:val="0"/>
                    <w:adjustRightInd/>
                    <w:spacing w:line="308" w:lineRule="auto"/>
                    <w:jc w:val="center"/>
                    <w:textAlignment w:val="auto"/>
                    <w:rPr>
                      <w:rFonts w:hint="eastAsia" w:ascii="仿宋" w:hAnsi="仿宋" w:eastAsia="仿宋" w:cs="仿宋"/>
                      <w:spacing w:val="-6"/>
                      <w:sz w:val="20"/>
                      <w:szCs w:val="20"/>
                      <w:u w:val="none" w:color="000000"/>
                    </w:rPr>
                  </w:pPr>
                  <w:r>
                    <w:rPr>
                      <w:rFonts w:hint="eastAsia" w:ascii="仿宋" w:hAnsi="仿宋" w:eastAsia="仿宋" w:cs="仿宋"/>
                      <w:spacing w:val="-6"/>
                      <w:sz w:val="20"/>
                      <w:szCs w:val="20"/>
                    </w:rPr>
                    <w:t>黑体、魏碑、大宋</w:t>
                  </w:r>
                </w:p>
              </w:tc>
              <w:tc>
                <w:tcPr>
                  <w:tcW w:w="1559" w:type="dxa"/>
                  <w:vAlign w:val="center"/>
                </w:tcPr>
                <w:p>
                  <w:pPr>
                    <w:keepNext w:val="0"/>
                    <w:keepLines w:val="0"/>
                    <w:pageBreakBefore w:val="0"/>
                    <w:widowControl w:val="0"/>
                    <w:kinsoku/>
                    <w:wordWrap/>
                    <w:overflowPunct/>
                    <w:topLinePunct w:val="0"/>
                    <w:autoSpaceDE/>
                    <w:autoSpaceDN/>
                    <w:bidi w:val="0"/>
                    <w:adjustRightInd/>
                    <w:spacing w:line="308" w:lineRule="auto"/>
                    <w:jc w:val="center"/>
                    <w:textAlignment w:val="auto"/>
                    <w:rPr>
                      <w:rFonts w:hint="eastAsia" w:ascii="仿宋" w:hAnsi="仿宋" w:eastAsia="仿宋" w:cs="仿宋"/>
                      <w:spacing w:val="-6"/>
                      <w:sz w:val="20"/>
                      <w:szCs w:val="20"/>
                      <w:u w:val="none" w:color="000000"/>
                    </w:rPr>
                  </w:pPr>
                  <w:r>
                    <w:rPr>
                      <w:rFonts w:hint="eastAsia" w:ascii="仿宋" w:hAnsi="仿宋" w:eastAsia="仿宋" w:cs="仿宋"/>
                      <w:spacing w:val="-6"/>
                      <w:sz w:val="20"/>
                      <w:szCs w:val="20"/>
                    </w:rPr>
                    <w:t>雅黑、中宋</w:t>
                  </w:r>
                </w:p>
              </w:tc>
              <w:tc>
                <w:tcPr>
                  <w:tcW w:w="1384" w:type="dxa"/>
                  <w:vAlign w:val="center"/>
                </w:tcPr>
                <w:p>
                  <w:pPr>
                    <w:keepNext w:val="0"/>
                    <w:keepLines w:val="0"/>
                    <w:pageBreakBefore w:val="0"/>
                    <w:widowControl w:val="0"/>
                    <w:kinsoku/>
                    <w:wordWrap/>
                    <w:overflowPunct/>
                    <w:topLinePunct w:val="0"/>
                    <w:autoSpaceDE/>
                    <w:autoSpaceDN/>
                    <w:bidi w:val="0"/>
                    <w:adjustRightInd/>
                    <w:spacing w:line="308" w:lineRule="auto"/>
                    <w:jc w:val="center"/>
                    <w:textAlignment w:val="auto"/>
                    <w:rPr>
                      <w:rFonts w:hint="eastAsia" w:ascii="仿宋" w:hAnsi="仿宋" w:eastAsia="仿宋" w:cs="仿宋"/>
                      <w:spacing w:val="-6"/>
                      <w:sz w:val="20"/>
                      <w:szCs w:val="20"/>
                      <w:u w:val="none" w:color="000000"/>
                    </w:rPr>
                  </w:pPr>
                  <w:r>
                    <w:rPr>
                      <w:rFonts w:hint="eastAsia" w:ascii="仿宋" w:hAnsi="仿宋" w:eastAsia="仿宋" w:cs="仿宋"/>
                      <w:spacing w:val="-6"/>
                      <w:sz w:val="20"/>
                      <w:szCs w:val="20"/>
                    </w:rPr>
                    <w:t>雅黑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keepNext w:val="0"/>
                    <w:keepLines w:val="0"/>
                    <w:pageBreakBefore w:val="0"/>
                    <w:widowControl w:val="0"/>
                    <w:kinsoku/>
                    <w:wordWrap/>
                    <w:overflowPunct/>
                    <w:topLinePunct w:val="0"/>
                    <w:autoSpaceDE/>
                    <w:autoSpaceDN/>
                    <w:bidi w:val="0"/>
                    <w:adjustRightInd/>
                    <w:spacing w:line="308" w:lineRule="auto"/>
                    <w:jc w:val="center"/>
                    <w:textAlignment w:val="auto"/>
                    <w:rPr>
                      <w:rFonts w:hint="eastAsia" w:ascii="仿宋" w:hAnsi="仿宋" w:eastAsia="仿宋" w:cs="仿宋"/>
                      <w:sz w:val="20"/>
                      <w:szCs w:val="20"/>
                      <w:u w:val="none" w:color="000000"/>
                    </w:rPr>
                  </w:pPr>
                  <w:r>
                    <w:rPr>
                      <w:rFonts w:hint="eastAsia" w:ascii="仿宋" w:hAnsi="仿宋" w:eastAsia="仿宋" w:cs="仿宋"/>
                      <w:sz w:val="20"/>
                      <w:szCs w:val="20"/>
                    </w:rPr>
                    <w:t>字号</w:t>
                  </w:r>
                </w:p>
              </w:tc>
              <w:tc>
                <w:tcPr>
                  <w:tcW w:w="1701" w:type="dxa"/>
                  <w:vAlign w:val="center"/>
                </w:tcPr>
                <w:p>
                  <w:pPr>
                    <w:keepNext w:val="0"/>
                    <w:keepLines w:val="0"/>
                    <w:pageBreakBefore w:val="0"/>
                    <w:widowControl w:val="0"/>
                    <w:kinsoku/>
                    <w:wordWrap/>
                    <w:overflowPunct/>
                    <w:topLinePunct w:val="0"/>
                    <w:autoSpaceDE/>
                    <w:autoSpaceDN/>
                    <w:bidi w:val="0"/>
                    <w:adjustRightInd/>
                    <w:spacing w:line="308" w:lineRule="auto"/>
                    <w:jc w:val="center"/>
                    <w:textAlignment w:val="auto"/>
                    <w:rPr>
                      <w:rFonts w:hint="eastAsia" w:ascii="仿宋" w:hAnsi="仿宋" w:eastAsia="仿宋" w:cs="仿宋"/>
                      <w:spacing w:val="-6"/>
                      <w:sz w:val="20"/>
                      <w:szCs w:val="20"/>
                      <w:u w:val="none" w:color="000000"/>
                    </w:rPr>
                  </w:pPr>
                  <w:r>
                    <w:rPr>
                      <w:rFonts w:hint="eastAsia" w:ascii="仿宋" w:hAnsi="仿宋" w:eastAsia="仿宋" w:cs="仿宋"/>
                      <w:spacing w:val="-6"/>
                      <w:sz w:val="20"/>
                      <w:szCs w:val="20"/>
                    </w:rPr>
                    <w:t>50～70磅</w:t>
                  </w:r>
                </w:p>
              </w:tc>
              <w:tc>
                <w:tcPr>
                  <w:tcW w:w="1485" w:type="dxa"/>
                  <w:vAlign w:val="center"/>
                </w:tcPr>
                <w:p>
                  <w:pPr>
                    <w:keepNext w:val="0"/>
                    <w:keepLines w:val="0"/>
                    <w:pageBreakBefore w:val="0"/>
                    <w:widowControl w:val="0"/>
                    <w:kinsoku/>
                    <w:wordWrap/>
                    <w:overflowPunct/>
                    <w:topLinePunct w:val="0"/>
                    <w:autoSpaceDE/>
                    <w:autoSpaceDN/>
                    <w:bidi w:val="0"/>
                    <w:adjustRightInd/>
                    <w:spacing w:line="308" w:lineRule="auto"/>
                    <w:jc w:val="center"/>
                    <w:textAlignment w:val="auto"/>
                    <w:rPr>
                      <w:rFonts w:hint="eastAsia" w:ascii="仿宋" w:hAnsi="仿宋" w:eastAsia="仿宋" w:cs="仿宋"/>
                      <w:spacing w:val="-6"/>
                      <w:sz w:val="20"/>
                      <w:szCs w:val="20"/>
                      <w:u w:val="none" w:color="000000"/>
                    </w:rPr>
                  </w:pPr>
                  <w:r>
                    <w:rPr>
                      <w:rFonts w:hint="eastAsia" w:ascii="仿宋" w:hAnsi="仿宋" w:eastAsia="仿宋" w:cs="仿宋"/>
                      <w:spacing w:val="-6"/>
                      <w:sz w:val="20"/>
                      <w:szCs w:val="20"/>
                    </w:rPr>
                    <w:t>36～40磅</w:t>
                  </w:r>
                </w:p>
              </w:tc>
              <w:tc>
                <w:tcPr>
                  <w:tcW w:w="1560" w:type="dxa"/>
                  <w:vAlign w:val="center"/>
                </w:tcPr>
                <w:p>
                  <w:pPr>
                    <w:keepNext w:val="0"/>
                    <w:keepLines w:val="0"/>
                    <w:pageBreakBefore w:val="0"/>
                    <w:widowControl w:val="0"/>
                    <w:kinsoku/>
                    <w:wordWrap/>
                    <w:overflowPunct/>
                    <w:topLinePunct w:val="0"/>
                    <w:autoSpaceDE/>
                    <w:autoSpaceDN/>
                    <w:bidi w:val="0"/>
                    <w:adjustRightInd/>
                    <w:spacing w:line="308" w:lineRule="auto"/>
                    <w:jc w:val="center"/>
                    <w:textAlignment w:val="auto"/>
                    <w:rPr>
                      <w:rFonts w:hint="eastAsia" w:ascii="仿宋" w:hAnsi="仿宋" w:eastAsia="仿宋" w:cs="仿宋"/>
                      <w:spacing w:val="-6"/>
                      <w:sz w:val="20"/>
                      <w:szCs w:val="20"/>
                      <w:u w:val="none" w:color="000000"/>
                    </w:rPr>
                  </w:pPr>
                  <w:r>
                    <w:rPr>
                      <w:rFonts w:hint="eastAsia" w:ascii="仿宋" w:hAnsi="仿宋" w:eastAsia="仿宋" w:cs="仿宋"/>
                      <w:spacing w:val="-6"/>
                      <w:sz w:val="20"/>
                      <w:szCs w:val="20"/>
                    </w:rPr>
                    <w:t>36～40磅</w:t>
                  </w:r>
                </w:p>
              </w:tc>
              <w:tc>
                <w:tcPr>
                  <w:tcW w:w="1559" w:type="dxa"/>
                  <w:vAlign w:val="center"/>
                </w:tcPr>
                <w:p>
                  <w:pPr>
                    <w:keepNext w:val="0"/>
                    <w:keepLines w:val="0"/>
                    <w:pageBreakBefore w:val="0"/>
                    <w:widowControl w:val="0"/>
                    <w:kinsoku/>
                    <w:wordWrap/>
                    <w:overflowPunct/>
                    <w:topLinePunct w:val="0"/>
                    <w:autoSpaceDE/>
                    <w:autoSpaceDN/>
                    <w:bidi w:val="0"/>
                    <w:adjustRightInd/>
                    <w:spacing w:line="308" w:lineRule="auto"/>
                    <w:jc w:val="center"/>
                    <w:textAlignment w:val="auto"/>
                    <w:rPr>
                      <w:rFonts w:hint="eastAsia" w:ascii="仿宋" w:hAnsi="仿宋" w:eastAsia="仿宋" w:cs="仿宋"/>
                      <w:spacing w:val="-6"/>
                      <w:sz w:val="20"/>
                      <w:szCs w:val="20"/>
                      <w:u w:val="none" w:color="000000"/>
                    </w:rPr>
                  </w:pPr>
                  <w:r>
                    <w:rPr>
                      <w:rFonts w:hint="eastAsia" w:ascii="仿宋" w:hAnsi="仿宋" w:eastAsia="仿宋" w:cs="仿宋"/>
                      <w:spacing w:val="-6"/>
                      <w:sz w:val="20"/>
                      <w:szCs w:val="20"/>
                    </w:rPr>
                    <w:t>24～32磅</w:t>
                  </w:r>
                </w:p>
              </w:tc>
              <w:tc>
                <w:tcPr>
                  <w:tcW w:w="1384" w:type="dxa"/>
                  <w:vAlign w:val="center"/>
                </w:tcPr>
                <w:p>
                  <w:pPr>
                    <w:keepNext w:val="0"/>
                    <w:keepLines w:val="0"/>
                    <w:pageBreakBefore w:val="0"/>
                    <w:widowControl w:val="0"/>
                    <w:kinsoku/>
                    <w:wordWrap/>
                    <w:overflowPunct/>
                    <w:topLinePunct w:val="0"/>
                    <w:autoSpaceDE/>
                    <w:autoSpaceDN/>
                    <w:bidi w:val="0"/>
                    <w:adjustRightInd/>
                    <w:spacing w:line="308" w:lineRule="auto"/>
                    <w:jc w:val="center"/>
                    <w:textAlignment w:val="auto"/>
                    <w:rPr>
                      <w:rFonts w:hint="eastAsia" w:ascii="仿宋" w:hAnsi="仿宋" w:eastAsia="仿宋" w:cs="仿宋"/>
                      <w:spacing w:val="-6"/>
                      <w:sz w:val="20"/>
                      <w:szCs w:val="20"/>
                      <w:u w:val="none" w:color="000000"/>
                    </w:rPr>
                  </w:pPr>
                  <w:r>
                    <w:rPr>
                      <w:rFonts w:hint="eastAsia" w:ascii="仿宋" w:hAnsi="仿宋" w:eastAsia="仿宋" w:cs="仿宋"/>
                      <w:spacing w:val="-6"/>
                      <w:sz w:val="20"/>
                      <w:szCs w:val="20"/>
                    </w:rPr>
                    <w:t>32磅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keepNext w:val="0"/>
                    <w:keepLines w:val="0"/>
                    <w:pageBreakBefore w:val="0"/>
                    <w:widowControl w:val="0"/>
                    <w:kinsoku/>
                    <w:wordWrap/>
                    <w:overflowPunct/>
                    <w:topLinePunct w:val="0"/>
                    <w:autoSpaceDE/>
                    <w:autoSpaceDN/>
                    <w:bidi w:val="0"/>
                    <w:adjustRightInd/>
                    <w:spacing w:line="308" w:lineRule="auto"/>
                    <w:jc w:val="center"/>
                    <w:textAlignment w:val="auto"/>
                    <w:rPr>
                      <w:rFonts w:hint="eastAsia" w:ascii="仿宋" w:hAnsi="仿宋" w:eastAsia="仿宋" w:cs="仿宋"/>
                      <w:sz w:val="20"/>
                      <w:szCs w:val="20"/>
                      <w:u w:val="none" w:color="000000"/>
                    </w:rPr>
                  </w:pPr>
                  <w:r>
                    <w:rPr>
                      <w:rFonts w:hint="eastAsia" w:ascii="仿宋" w:hAnsi="仿宋" w:eastAsia="仿宋" w:cs="仿宋"/>
                      <w:sz w:val="20"/>
                      <w:szCs w:val="20"/>
                    </w:rPr>
                    <w:t>应用</w:t>
                  </w:r>
                </w:p>
              </w:tc>
              <w:tc>
                <w:tcPr>
                  <w:tcW w:w="1701" w:type="dxa"/>
                  <w:vAlign w:val="center"/>
                </w:tcPr>
                <w:p>
                  <w:pPr>
                    <w:keepNext w:val="0"/>
                    <w:keepLines w:val="0"/>
                    <w:pageBreakBefore w:val="0"/>
                    <w:widowControl w:val="0"/>
                    <w:kinsoku/>
                    <w:wordWrap/>
                    <w:overflowPunct/>
                    <w:topLinePunct w:val="0"/>
                    <w:autoSpaceDE/>
                    <w:autoSpaceDN/>
                    <w:bidi w:val="0"/>
                    <w:adjustRightInd/>
                    <w:spacing w:line="308" w:lineRule="auto"/>
                    <w:jc w:val="center"/>
                    <w:textAlignment w:val="auto"/>
                    <w:rPr>
                      <w:rFonts w:hint="eastAsia" w:ascii="仿宋" w:hAnsi="仿宋" w:eastAsia="仿宋" w:cs="仿宋"/>
                      <w:spacing w:val="-6"/>
                      <w:sz w:val="20"/>
                      <w:szCs w:val="20"/>
                      <w:u w:val="none" w:color="000000"/>
                    </w:rPr>
                  </w:pPr>
                  <w:r>
                    <w:rPr>
                      <w:rFonts w:hint="eastAsia" w:ascii="仿宋" w:hAnsi="仿宋" w:eastAsia="仿宋" w:cs="仿宋"/>
                      <w:spacing w:val="-6"/>
                      <w:sz w:val="20"/>
                      <w:szCs w:val="20"/>
                    </w:rPr>
                    <w:t>上下左右居中</w:t>
                  </w:r>
                </w:p>
              </w:tc>
              <w:tc>
                <w:tcPr>
                  <w:tcW w:w="1485" w:type="dxa"/>
                  <w:vAlign w:val="center"/>
                </w:tcPr>
                <w:p>
                  <w:pPr>
                    <w:keepNext w:val="0"/>
                    <w:keepLines w:val="0"/>
                    <w:pageBreakBefore w:val="0"/>
                    <w:widowControl w:val="0"/>
                    <w:kinsoku/>
                    <w:wordWrap/>
                    <w:overflowPunct/>
                    <w:topLinePunct w:val="0"/>
                    <w:autoSpaceDE/>
                    <w:autoSpaceDN/>
                    <w:bidi w:val="0"/>
                    <w:adjustRightInd/>
                    <w:spacing w:line="308" w:lineRule="auto"/>
                    <w:jc w:val="center"/>
                    <w:textAlignment w:val="auto"/>
                    <w:rPr>
                      <w:rFonts w:hint="eastAsia" w:ascii="仿宋" w:hAnsi="仿宋" w:eastAsia="仿宋" w:cs="仿宋"/>
                      <w:spacing w:val="-6"/>
                      <w:sz w:val="20"/>
                      <w:szCs w:val="20"/>
                      <w:u w:val="none" w:color="000000"/>
                    </w:rPr>
                  </w:pPr>
                  <w:r>
                    <w:rPr>
                      <w:rFonts w:hint="eastAsia" w:ascii="仿宋" w:hAnsi="仿宋" w:eastAsia="仿宋" w:cs="仿宋"/>
                      <w:spacing w:val="-6"/>
                      <w:sz w:val="20"/>
                      <w:szCs w:val="20"/>
                    </w:rPr>
                    <w:t>左右居中</w:t>
                  </w:r>
                </w:p>
              </w:tc>
              <w:tc>
                <w:tcPr>
                  <w:tcW w:w="1560" w:type="dxa"/>
                  <w:vAlign w:val="center"/>
                </w:tcPr>
                <w:p>
                  <w:pPr>
                    <w:keepNext w:val="0"/>
                    <w:keepLines w:val="0"/>
                    <w:pageBreakBefore w:val="0"/>
                    <w:widowControl w:val="0"/>
                    <w:kinsoku/>
                    <w:wordWrap/>
                    <w:overflowPunct/>
                    <w:topLinePunct w:val="0"/>
                    <w:autoSpaceDE/>
                    <w:autoSpaceDN/>
                    <w:bidi w:val="0"/>
                    <w:adjustRightInd/>
                    <w:spacing w:line="308" w:lineRule="auto"/>
                    <w:jc w:val="center"/>
                    <w:textAlignment w:val="auto"/>
                    <w:rPr>
                      <w:rFonts w:hint="eastAsia" w:ascii="仿宋" w:hAnsi="仿宋" w:eastAsia="仿宋" w:cs="仿宋"/>
                      <w:spacing w:val="-6"/>
                      <w:sz w:val="20"/>
                      <w:szCs w:val="20"/>
                      <w:u w:val="none" w:color="000000"/>
                    </w:rPr>
                  </w:pPr>
                  <w:r>
                    <w:rPr>
                      <w:rFonts w:hint="eastAsia" w:ascii="仿宋" w:hAnsi="仿宋" w:eastAsia="仿宋" w:cs="仿宋"/>
                      <w:spacing w:val="-6"/>
                      <w:sz w:val="20"/>
                      <w:szCs w:val="20"/>
                    </w:rPr>
                    <w:t>左右居中</w:t>
                  </w:r>
                </w:p>
              </w:tc>
              <w:tc>
                <w:tcPr>
                  <w:tcW w:w="1559" w:type="dxa"/>
                  <w:vAlign w:val="center"/>
                </w:tcPr>
                <w:p>
                  <w:pPr>
                    <w:keepNext w:val="0"/>
                    <w:keepLines w:val="0"/>
                    <w:pageBreakBefore w:val="0"/>
                    <w:widowControl w:val="0"/>
                    <w:kinsoku/>
                    <w:wordWrap/>
                    <w:overflowPunct/>
                    <w:topLinePunct w:val="0"/>
                    <w:autoSpaceDE/>
                    <w:autoSpaceDN/>
                    <w:bidi w:val="0"/>
                    <w:adjustRightInd/>
                    <w:spacing w:line="308" w:lineRule="auto"/>
                    <w:jc w:val="center"/>
                    <w:textAlignment w:val="auto"/>
                    <w:rPr>
                      <w:rFonts w:hint="eastAsia" w:ascii="仿宋" w:hAnsi="仿宋" w:eastAsia="仿宋" w:cs="仿宋"/>
                      <w:spacing w:val="-6"/>
                      <w:sz w:val="20"/>
                      <w:szCs w:val="20"/>
                      <w:u w:val="none" w:color="000000"/>
                    </w:rPr>
                  </w:pPr>
                  <w:r>
                    <w:rPr>
                      <w:rFonts w:hint="eastAsia" w:ascii="仿宋" w:hAnsi="仿宋" w:eastAsia="仿宋" w:cs="仿宋"/>
                      <w:spacing w:val="-6"/>
                      <w:sz w:val="20"/>
                      <w:szCs w:val="20"/>
                    </w:rPr>
                    <w:t>左对齐或居中</w:t>
                  </w:r>
                </w:p>
              </w:tc>
              <w:tc>
                <w:tcPr>
                  <w:tcW w:w="1384" w:type="dxa"/>
                  <w:vAlign w:val="center"/>
                </w:tcPr>
                <w:p>
                  <w:pPr>
                    <w:keepNext w:val="0"/>
                    <w:keepLines w:val="0"/>
                    <w:pageBreakBefore w:val="0"/>
                    <w:widowControl w:val="0"/>
                    <w:kinsoku/>
                    <w:wordWrap/>
                    <w:overflowPunct/>
                    <w:topLinePunct w:val="0"/>
                    <w:autoSpaceDE/>
                    <w:autoSpaceDN/>
                    <w:bidi w:val="0"/>
                    <w:adjustRightInd/>
                    <w:spacing w:line="308" w:lineRule="auto"/>
                    <w:jc w:val="center"/>
                    <w:textAlignment w:val="auto"/>
                    <w:rPr>
                      <w:rFonts w:hint="eastAsia" w:ascii="仿宋" w:hAnsi="仿宋" w:eastAsia="仿宋" w:cs="仿宋"/>
                      <w:spacing w:val="-6"/>
                      <w:sz w:val="20"/>
                      <w:szCs w:val="20"/>
                      <w:u w:val="none" w:color="000000"/>
                    </w:rPr>
                  </w:pPr>
                  <w:r>
                    <w:rPr>
                      <w:rFonts w:hint="eastAsia" w:ascii="仿宋" w:hAnsi="仿宋" w:eastAsia="仿宋" w:cs="仿宋"/>
                      <w:spacing w:val="-6"/>
                      <w:sz w:val="20"/>
                      <w:szCs w:val="20"/>
                    </w:rPr>
                    <w:t>左右居中</w:t>
                  </w:r>
                </w:p>
              </w:tc>
            </w:tr>
          </w:tbl>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3.版心与版式</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每页四周留出空白，应避免内容顶到页面边缘，边界安全区域分别为左、右130像素内，上、下90像素内。</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4.背景</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（1）背景色以简洁适中饱和度为主（颜色保持在一至两种色系内）；</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（2）背景和场景不宜变化过多；</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（3）文字、图形等内容应与背景对比醒目。</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5. 色调</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（1）色彩的选配应与课程科目相吻合；</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（2）每一短视频或一系列短视频在配色上应体现出系统性，可选一种主色调再加上一至两种辅助色进行匹配；</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（3）同一屏里文字不宜超出三种颜色。</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6.字距与行距</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（1）标题：在文字少的情形下，字距放宽一倍体现舒展性；</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（2）正文：行距使用1行或1.5行，便于阅读。</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7. 配图</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（1）图像应清晰并能反映出内容主题思想，分辨率应上72dpi以上；</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（2）保持图像宽高比例，不可变形；</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（3）图形使用应通俗易懂，便于理解。</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8. 修饰</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（1）细线条的运用比粗线条更显精致；</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（2）扁平式的装饰更接近时代审美；</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（3）有趣味的装饰通常更能吸引人。</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hint="eastAsia" w:ascii="仿宋" w:hAnsi="仿宋" w:eastAsia="仿宋" w:cs="仿宋"/>
                <w:sz w:val="20"/>
                <w:szCs w:val="20"/>
              </w:rPr>
            </w:pPr>
            <w:r>
              <w:rPr>
                <w:rFonts w:hint="eastAsia" w:ascii="仿宋" w:hAnsi="仿宋" w:eastAsia="仿宋" w:cs="仿宋"/>
                <w:sz w:val="20"/>
                <w:szCs w:val="20"/>
              </w:rPr>
              <w:t>9. 版权来源</w:t>
            </w:r>
          </w:p>
          <w:p>
            <w:pPr>
              <w:keepNext w:val="0"/>
              <w:keepLines w:val="0"/>
              <w:pageBreakBefore w:val="0"/>
              <w:widowControl w:val="0"/>
              <w:kinsoku/>
              <w:wordWrap/>
              <w:overflowPunct/>
              <w:topLinePunct w:val="0"/>
              <w:autoSpaceDE/>
              <w:autoSpaceDN/>
              <w:bidi w:val="0"/>
              <w:adjustRightInd/>
              <w:snapToGrid/>
              <w:spacing w:line="308" w:lineRule="auto"/>
              <w:ind w:firstLine="400" w:firstLineChars="200"/>
              <w:textAlignment w:val="auto"/>
              <w:rPr>
                <w:rFonts w:ascii="仿宋" w:hAnsi="仿宋" w:eastAsia="仿宋" w:cs="仿宋"/>
                <w:color w:val="000000"/>
                <w:sz w:val="20"/>
                <w:szCs w:val="20"/>
              </w:rPr>
            </w:pPr>
            <w:r>
              <w:rPr>
                <w:rFonts w:hint="eastAsia" w:ascii="仿宋" w:hAnsi="仿宋" w:eastAsia="仿宋" w:cs="仿宋"/>
                <w:sz w:val="20"/>
                <w:szCs w:val="20"/>
              </w:rPr>
              <w:t>素材选用注意版权。不得使用未经授权的素材，经授权的素材需加入“版权来源”信息。</w:t>
            </w:r>
          </w:p>
        </w:tc>
      </w:tr>
      <w:tr>
        <w:tblPrEx>
          <w:tblCellMar>
            <w:top w:w="0" w:type="dxa"/>
            <w:left w:w="108" w:type="dxa"/>
            <w:bottom w:w="0" w:type="dxa"/>
            <w:right w:w="108" w:type="dxa"/>
          </w:tblCellMar>
        </w:tblPrEx>
        <w:trPr>
          <w:trHeight w:val="240" w:hRule="atLeast"/>
          <w:jc w:val="center"/>
        </w:trPr>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专业设置与人才培养模式</w:t>
            </w: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福州软件职业技术学院人才培养方案管理暂行办法</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福州软件职业技术学院专业建设管理办法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福州软件职业技术学院关于现代学徒制试点工作实施意见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福州软件职业技术学院大学生创新创业教育工作实施意见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福州软件职业技术学院大学生创新创业教育改革实施方案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福州软件职业技术学院重点建设专业遴选及建设工作方案〔修订〕</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福州软件职业技术学院关于进一步加强专业建设的若干意见</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福州软件职业技术学院关于开展“校企合作”人才培养工作的实施意见</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福州软件职业技术学院“网龙数字化工程师培养计划”实施总体方案和试验班实施办法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福州软件职业技术学院关于修订2020级专业培养方案的原则意见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福州软件职业技术学院关于深化产教融合指导性意见 </w:t>
            </w:r>
          </w:p>
        </w:tc>
      </w:tr>
      <w:tr>
        <w:tblPrEx>
          <w:tblCellMar>
            <w:top w:w="0" w:type="dxa"/>
            <w:left w:w="108" w:type="dxa"/>
            <w:bottom w:w="0" w:type="dxa"/>
            <w:right w:w="108" w:type="dxa"/>
          </w:tblCellMar>
        </w:tblPrEx>
        <w:trPr>
          <w:trHeight w:val="240" w:hRule="atLeast"/>
          <w:jc w:val="center"/>
        </w:trPr>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课程体系和课程改革</w:t>
            </w: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福州软件职业技术学院自编教材〔讲义〕编写管理规定</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福州软件职业技术学院在线开放课程建设与管理办法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福州软件职业技术学院关于进一步深化课程考核改革的指导意见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福州软件职业技术学院关于教学方法和教学手段改革的指导意见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福州软件职业技术学院教材建设与管理办法</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福州软件职业技术学院关于制订课程标准的原则及管理办法〔修订〕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福州软件职业技术学院职业素养选修课管理办法〔暂行〕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 AI 课件制作激励管理措施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福州软件职业技术学院关于推进课程思政建设的指导意见 </w:t>
            </w:r>
          </w:p>
        </w:tc>
      </w:tr>
      <w:tr>
        <w:tblPrEx>
          <w:tblCellMar>
            <w:top w:w="0" w:type="dxa"/>
            <w:left w:w="108" w:type="dxa"/>
            <w:bottom w:w="0" w:type="dxa"/>
            <w:right w:w="108" w:type="dxa"/>
          </w:tblCellMar>
        </w:tblPrEx>
        <w:trPr>
          <w:trHeight w:val="240" w:hRule="atLeast"/>
          <w:jc w:val="center"/>
        </w:trPr>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师资队伍建设</w:t>
            </w: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福州软件职业技术学院加强师德师风建设实施方案</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福州软件职业技术学院教师职业道德规范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福州软件职业技术学院学风与学术道德建设行为规范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福州软件职业技术学院教师师德失范行为负面清单及处理办法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福州软件职业技术学院教师行为规范准则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福州软件职业技术学院教师到企业生产实践暂行办法〔修订〕</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福州软件职业技术学院教师进修培训管理暂行办法〔修订〕</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福州软件职业技术学院中青年骨干教师选拔培养暂行办法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福州软件职业技术学院选拔专业带头人管理办法</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福州软件职业技术学院教师工作量管理办法〔修订〕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福州软件职业技术学院教师工作量考核办法〔修订〕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福州软件职业技术学院“双师”教师资格认定实施办法〔修订〕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福州软件职业技术学院“双肩挑”教师管理办法〔试行〕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福州软件职业技术学院关于加强“双师型”师资队伍建设的意见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福州软件职业技术学院现代学徒制“双导师”管理与考核办法</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福州软件职业技术学院信息化教师教学创新团队建设管理办法</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福州软件职业技术学院教师等专业技术职务聘任实施方案（试行）</w:t>
            </w:r>
          </w:p>
        </w:tc>
      </w:tr>
      <w:tr>
        <w:tblPrEx>
          <w:tblCellMar>
            <w:top w:w="0" w:type="dxa"/>
            <w:left w:w="108" w:type="dxa"/>
            <w:bottom w:w="0" w:type="dxa"/>
            <w:right w:w="108" w:type="dxa"/>
          </w:tblCellMar>
        </w:tblPrEx>
        <w:trPr>
          <w:trHeight w:val="240" w:hRule="atLeast"/>
          <w:jc w:val="center"/>
        </w:trPr>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教学条件与实践教学设计</w:t>
            </w: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关于印发《福州软件职业技术学院技能竞赛奖励与管理办法》的通知</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福州软件职业技术学院岗位实习指导教师巡查工作规程</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福州软件职业技术学院实践教学管理规范（修订）</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关于印发《福州软件职业技术学院实训室管理制度》的通知</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关于印发《福州软件职业技术学院多媒体教室使用管理制度》的通知</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关于印发《福州软件职业技术学院教学科研仪器设备管理办法》的通知</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关于印发《福州软件职业技术学院技能大师工作室章程》的通知</w:t>
            </w:r>
          </w:p>
        </w:tc>
      </w:tr>
      <w:tr>
        <w:tblPrEx>
          <w:tblCellMar>
            <w:top w:w="0" w:type="dxa"/>
            <w:left w:w="108" w:type="dxa"/>
            <w:bottom w:w="0" w:type="dxa"/>
            <w:right w:w="108" w:type="dxa"/>
          </w:tblCellMar>
        </w:tblPrEx>
        <w:trPr>
          <w:trHeight w:val="240" w:hRule="atLeast"/>
          <w:jc w:val="center"/>
        </w:trPr>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教学管理与改革</w:t>
            </w: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福州软件职业技术学院关于撰写课程授课计划和教案有关规定</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福州软件职业技术学院教学改革项目管理办法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福州软件职业技术学院教师调、停课、补课管理规定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福州软件职业技术学院关于课程安排的原则意见</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福州软件职业技术学院课程考试〔考核〕环节规范</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福州软件职业技术学院教研室工作管理规定</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福州软件职业技术学院教学档案管理细则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福州软件职业技术学院教师教学工作规程（修订）</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关于运用智慧校园信息平台填写教学材料的通知</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福州软件职业技术学院教学二级管理实施细则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关于印发《福州软件职业技术学院线上教学基本规范和要求》的通知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福州软件职业技术学院教师评学暂行办法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福州软件职业技术学院关于加强教学反馈工作的规定〔试行〕</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福州软件职业技术学院教学检查制度</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福州软件职业技术学院各教学环节质量标准管理办法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福州软件职业技术学院关于进一步加强听评巡课制度的决定〔修订〕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福州软件职业技术学院学生信息员管理制度〔修订〕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福州软件职业技术学院教学事故认定办法〔修订〕</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福州软件职业技术学院关于做好全面复学时期教学质量监控与评价工作线上与线下衔接方案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福州软件职业技术学院在线课程建设评价办法（试行）</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 xml:space="preserve">福州软件职业技术学院关于征集“典型教学案例”的通知 </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福州软件职业技术学院教学质量管理用表索引</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福州软件职业技术学院新冠肺炎疫情防控常态化下内部质量保证体系建设方案</w:t>
            </w:r>
          </w:p>
        </w:tc>
      </w:tr>
      <w:tr>
        <w:tblPrEx>
          <w:tblCellMar>
            <w:top w:w="0" w:type="dxa"/>
            <w:left w:w="108" w:type="dxa"/>
            <w:bottom w:w="0" w:type="dxa"/>
            <w:right w:w="108" w:type="dxa"/>
          </w:tblCellMar>
        </w:tblPrEx>
        <w:trPr>
          <w:trHeight w:val="240" w:hRule="atLeast"/>
          <w:jc w:val="center"/>
        </w:trPr>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人才培养成效与社会服务</w:t>
            </w: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《福州软件职业技术学院教科研项目（课题）管理办法》（试行）</w:t>
            </w:r>
          </w:p>
        </w:tc>
      </w:tr>
      <w:tr>
        <w:tblPrEx>
          <w:tblCellMar>
            <w:top w:w="0" w:type="dxa"/>
            <w:left w:w="108" w:type="dxa"/>
            <w:bottom w:w="0" w:type="dxa"/>
            <w:right w:w="108" w:type="dxa"/>
          </w:tblCellMar>
        </w:tblPrEx>
        <w:trPr>
          <w:trHeight w:val="240" w:hRule="atLeast"/>
          <w:jc w:val="center"/>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rPr>
                <w:rFonts w:ascii="仿宋" w:hAnsi="仿宋" w:eastAsia="仿宋" w:cs="仿宋"/>
                <w:color w:val="000000"/>
                <w:sz w:val="20"/>
                <w:szCs w:val="20"/>
              </w:rPr>
            </w:pP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福州软件职业技术学院“二元制”试点项目工作方案</w:t>
            </w:r>
          </w:p>
        </w:tc>
      </w:tr>
      <w:tr>
        <w:tblPrEx>
          <w:tblCellMar>
            <w:top w:w="0" w:type="dxa"/>
            <w:left w:w="108" w:type="dxa"/>
            <w:bottom w:w="0" w:type="dxa"/>
            <w:right w:w="108" w:type="dxa"/>
          </w:tblCellMar>
        </w:tblPrEx>
        <w:trPr>
          <w:trHeight w:val="240" w:hRule="atLeast"/>
          <w:jc w:val="center"/>
        </w:trPr>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val="en-US" w:eastAsia="zh-CN"/>
              </w:rPr>
              <w:t>课程</w:t>
            </w:r>
            <w:r>
              <w:rPr>
                <w:rFonts w:hint="eastAsia" w:ascii="仿宋" w:hAnsi="仿宋" w:eastAsia="仿宋" w:cs="仿宋"/>
                <w:color w:val="000000"/>
                <w:kern w:val="0"/>
                <w:sz w:val="20"/>
                <w:szCs w:val="20"/>
              </w:rPr>
              <w:t>特色</w:t>
            </w:r>
          </w:p>
        </w:tc>
        <w:tc>
          <w:tcPr>
            <w:tcW w:w="8445"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308" w:lineRule="auto"/>
              <w:jc w:val="left"/>
              <w:textAlignment w:val="top"/>
              <w:rPr>
                <w:rFonts w:ascii="仿宋" w:hAnsi="仿宋" w:eastAsia="仿宋" w:cs="仿宋"/>
                <w:color w:val="000000"/>
                <w:sz w:val="20"/>
                <w:szCs w:val="20"/>
              </w:rPr>
            </w:pPr>
            <w:r>
              <w:rPr>
                <w:rFonts w:hint="eastAsia" w:ascii="仿宋" w:hAnsi="仿宋" w:eastAsia="仿宋" w:cs="仿宋"/>
                <w:color w:val="000000"/>
                <w:kern w:val="0"/>
                <w:sz w:val="20"/>
                <w:szCs w:val="20"/>
              </w:rPr>
              <w:t>关于印发《福州软件职业技术学院教学成果（含荣誉）奖励办法》（试行）的通</w:t>
            </w:r>
          </w:p>
        </w:tc>
      </w:tr>
    </w:tbl>
    <w:p>
      <w:pPr>
        <w:adjustRightInd w:val="0"/>
        <w:snapToGrid w:val="0"/>
        <w:spacing w:line="308" w:lineRule="auto"/>
        <w:ind w:right="105" w:rightChars="50" w:firstLine="480" w:firstLineChars="200"/>
        <w:rPr>
          <w:rFonts w:ascii="仿宋" w:hAnsi="仿宋" w:eastAsia="仿宋" w:cs="仿宋"/>
          <w:bCs/>
          <w:sz w:val="24"/>
        </w:rPr>
      </w:pPr>
    </w:p>
    <w:p>
      <w:pPr>
        <w:adjustRightInd w:val="0"/>
        <w:snapToGrid w:val="0"/>
        <w:spacing w:line="308" w:lineRule="auto"/>
        <w:ind w:right="105" w:rightChars="50" w:firstLine="482" w:firstLineChars="200"/>
        <w:rPr>
          <w:rFonts w:hint="eastAsia" w:ascii="楷体" w:hAnsi="楷体" w:eastAsia="楷体" w:cs="楷体"/>
          <w:b/>
          <w:sz w:val="24"/>
        </w:rPr>
      </w:pPr>
      <w:r>
        <w:rPr>
          <w:rFonts w:hint="eastAsia" w:ascii="楷体" w:hAnsi="楷体" w:eastAsia="楷体" w:cs="楷体"/>
          <w:b/>
          <w:sz w:val="24"/>
        </w:rPr>
        <w:t>（三）质量改进螺旋设计</w:t>
      </w:r>
    </w:p>
    <w:p>
      <w:pPr>
        <w:shd w:val="clear"/>
        <w:adjustRightInd w:val="0"/>
        <w:snapToGrid w:val="0"/>
        <w:spacing w:line="308" w:lineRule="auto"/>
        <w:ind w:right="105" w:rightChars="50"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基于“8”字螺旋，结合</w:t>
      </w:r>
      <w:r>
        <w:rPr>
          <w:rFonts w:hint="eastAsia" w:ascii="仿宋" w:hAnsi="仿宋" w:eastAsia="仿宋" w:cs="仿宋"/>
          <w:bCs/>
          <w:color w:val="auto"/>
          <w:sz w:val="24"/>
          <w:highlight w:val="none"/>
          <w:lang w:val="en-US" w:eastAsia="zh-CN"/>
        </w:rPr>
        <w:t>课程</w:t>
      </w:r>
      <w:r>
        <w:rPr>
          <w:rFonts w:hint="eastAsia" w:ascii="仿宋" w:hAnsi="仿宋" w:eastAsia="仿宋" w:cs="仿宋"/>
          <w:bCs/>
          <w:color w:val="auto"/>
          <w:sz w:val="24"/>
          <w:highlight w:val="none"/>
        </w:rPr>
        <w:t>自身特点，设计适于</w:t>
      </w:r>
      <w:r>
        <w:rPr>
          <w:rFonts w:hint="eastAsia" w:ascii="仿宋" w:hAnsi="仿宋" w:eastAsia="仿宋" w:cs="仿宋"/>
          <w:bCs/>
          <w:color w:val="auto"/>
          <w:sz w:val="24"/>
          <w:highlight w:val="none"/>
          <w:lang w:val="en-US" w:eastAsia="zh-CN"/>
        </w:rPr>
        <w:t>课程</w:t>
      </w:r>
      <w:r>
        <w:rPr>
          <w:rFonts w:hint="eastAsia" w:ascii="仿宋" w:hAnsi="仿宋" w:eastAsia="仿宋" w:cs="仿宋"/>
          <w:bCs/>
          <w:color w:val="auto"/>
          <w:sz w:val="24"/>
          <w:highlight w:val="none"/>
        </w:rPr>
        <w:t>持续改进的螺旋，具体如下图所示。</w:t>
      </w:r>
    </w:p>
    <w:p>
      <w:pPr>
        <w:adjustRightInd w:val="0"/>
        <w:snapToGrid w:val="0"/>
        <w:spacing w:line="308" w:lineRule="auto"/>
        <w:ind w:right="105" w:rightChars="50"/>
        <w:jc w:val="center"/>
        <w:rPr>
          <w:rFonts w:ascii="仿宋" w:hAnsi="仿宋" w:eastAsia="仿宋" w:cs="仿宋"/>
          <w:bCs/>
          <w:sz w:val="24"/>
        </w:rPr>
      </w:pPr>
      <w:r>
        <w:rPr>
          <w:rFonts w:hint="eastAsia" w:ascii="仿宋" w:hAnsi="仿宋" w:eastAsia="仿宋" w:cs="仿宋"/>
          <w:sz w:val="28"/>
          <w:szCs w:val="28"/>
        </w:rPr>
        <w:drawing>
          <wp:inline distT="0" distB="0" distL="0" distR="0">
            <wp:extent cx="5199380" cy="2400300"/>
            <wp:effectExtent l="0" t="0" r="1270" b="0"/>
            <wp:docPr id="1030" name="图片 5" descr="f41296cc-88f4-4816-ac0a-4acdc3ab9557"/>
            <wp:cNvGraphicFramePr/>
            <a:graphic xmlns:a="http://schemas.openxmlformats.org/drawingml/2006/main">
              <a:graphicData uri="http://schemas.openxmlformats.org/drawingml/2006/picture">
                <pic:pic xmlns:pic="http://schemas.openxmlformats.org/drawingml/2006/picture">
                  <pic:nvPicPr>
                    <pic:cNvPr id="1030" name="图片 5" descr="f41296cc-88f4-4816-ac0a-4acdc3ab9557"/>
                    <pic:cNvPicPr/>
                  </pic:nvPicPr>
                  <pic:blipFill>
                    <a:blip r:embed="rId5" cstate="print"/>
                    <a:srcRect b="14358"/>
                    <a:stretch>
                      <a:fillRect/>
                    </a:stretch>
                  </pic:blipFill>
                  <pic:spPr>
                    <a:xfrm>
                      <a:off x="0" y="0"/>
                      <a:ext cx="5199380" cy="2400300"/>
                    </a:xfrm>
                    <a:prstGeom prst="rect">
                      <a:avLst/>
                    </a:prstGeom>
                  </pic:spPr>
                </pic:pic>
              </a:graphicData>
            </a:graphic>
          </wp:inline>
        </w:drawing>
      </w:r>
    </w:p>
    <w:p>
      <w:pPr>
        <w:adjustRightInd w:val="0"/>
        <w:snapToGrid w:val="0"/>
        <w:spacing w:line="308" w:lineRule="auto"/>
        <w:ind w:right="105" w:rightChars="50" w:firstLine="480" w:firstLineChars="200"/>
        <w:rPr>
          <w:rFonts w:ascii="仿宋" w:hAnsi="仿宋" w:eastAsia="仿宋" w:cs="仿宋"/>
          <w:bCs/>
          <w:sz w:val="24"/>
        </w:rPr>
      </w:pPr>
    </w:p>
    <w:p>
      <w:pPr>
        <w:adjustRightInd w:val="0"/>
        <w:snapToGrid w:val="0"/>
        <w:spacing w:line="308" w:lineRule="auto"/>
        <w:ind w:right="105" w:rightChars="50" w:firstLine="482" w:firstLineChars="200"/>
        <w:rPr>
          <w:rFonts w:hint="eastAsia" w:ascii="黑体" w:hAnsi="黑体" w:eastAsia="黑体" w:cs="黑体"/>
          <w:b/>
          <w:sz w:val="24"/>
        </w:rPr>
      </w:pPr>
      <w:r>
        <w:rPr>
          <w:rFonts w:hint="eastAsia" w:ascii="黑体" w:hAnsi="黑体" w:eastAsia="黑体" w:cs="黑体"/>
          <w:b/>
          <w:sz w:val="24"/>
        </w:rPr>
        <w:t>四、自我诊改实施运行</w:t>
      </w:r>
    </w:p>
    <w:p>
      <w:pPr>
        <w:adjustRightInd w:val="0"/>
        <w:snapToGrid w:val="0"/>
        <w:spacing w:line="308" w:lineRule="auto"/>
        <w:ind w:right="105" w:rightChars="50" w:firstLine="482" w:firstLineChars="200"/>
        <w:rPr>
          <w:rFonts w:hint="eastAsia" w:ascii="楷体" w:hAnsi="楷体" w:eastAsia="楷体" w:cs="楷体"/>
          <w:b/>
          <w:sz w:val="24"/>
        </w:rPr>
      </w:pPr>
      <w:r>
        <w:rPr>
          <w:rFonts w:hint="eastAsia" w:ascii="楷体" w:hAnsi="楷体" w:eastAsia="楷体" w:cs="楷体"/>
          <w:b/>
          <w:sz w:val="24"/>
        </w:rPr>
        <w:t>（一）质控要素监测预警与责任主体</w:t>
      </w:r>
    </w:p>
    <w:p>
      <w:pPr>
        <w:adjustRightInd w:val="0"/>
        <w:snapToGrid w:val="0"/>
        <w:spacing w:line="308" w:lineRule="auto"/>
        <w:ind w:right="105" w:rightChars="50" w:firstLine="480" w:firstLineChars="200"/>
        <w:rPr>
          <w:rFonts w:ascii="仿宋" w:hAnsi="仿宋" w:eastAsia="仿宋" w:cs="仿宋"/>
          <w:bCs/>
          <w:sz w:val="24"/>
        </w:rPr>
      </w:pPr>
      <w:r>
        <w:rPr>
          <w:rFonts w:hint="eastAsia" w:ascii="仿宋" w:hAnsi="仿宋" w:eastAsia="仿宋" w:cs="仿宋"/>
          <w:bCs/>
          <w:sz w:val="24"/>
        </w:rPr>
        <w:t>为有效评价与考量</w:t>
      </w:r>
      <w:r>
        <w:rPr>
          <w:rFonts w:hint="eastAsia" w:ascii="仿宋" w:hAnsi="仿宋" w:eastAsia="仿宋" w:cs="仿宋"/>
          <w:bCs/>
          <w:sz w:val="24"/>
          <w:lang w:val="en-US" w:eastAsia="zh-CN"/>
        </w:rPr>
        <w:t>课程</w:t>
      </w:r>
      <w:r>
        <w:rPr>
          <w:rFonts w:hint="eastAsia" w:ascii="仿宋" w:hAnsi="仿宋" w:eastAsia="仿宋" w:cs="仿宋"/>
          <w:bCs/>
          <w:sz w:val="24"/>
        </w:rPr>
        <w:t>建设目标任务的达成情况，依据</w:t>
      </w:r>
      <w:r>
        <w:rPr>
          <w:rFonts w:hint="eastAsia" w:ascii="仿宋" w:hAnsi="仿宋" w:eastAsia="仿宋" w:cs="仿宋"/>
          <w:bCs/>
          <w:sz w:val="24"/>
          <w:lang w:val="en-US" w:eastAsia="zh-CN"/>
        </w:rPr>
        <w:t>课程</w:t>
      </w:r>
      <w:r>
        <w:rPr>
          <w:rFonts w:hint="eastAsia" w:ascii="仿宋" w:hAnsi="仿宋" w:eastAsia="仿宋" w:cs="仿宋"/>
          <w:bCs/>
          <w:sz w:val="24"/>
        </w:rPr>
        <w:t>建设目标任务，设计对</w:t>
      </w:r>
      <w:r>
        <w:rPr>
          <w:rFonts w:hint="eastAsia" w:ascii="仿宋" w:hAnsi="仿宋" w:eastAsia="仿宋" w:cs="仿宋"/>
          <w:bCs/>
          <w:sz w:val="24"/>
          <w:lang w:val="en-US" w:eastAsia="zh-CN"/>
        </w:rPr>
        <w:t>课程</w:t>
      </w:r>
      <w:r>
        <w:rPr>
          <w:rFonts w:hint="eastAsia" w:ascii="仿宋" w:hAnsi="仿宋" w:eastAsia="仿宋" w:cs="仿宋"/>
          <w:bCs/>
          <w:sz w:val="24"/>
        </w:rPr>
        <w:t>建设质量影响较大的</w:t>
      </w:r>
      <w:r>
        <w:rPr>
          <w:rFonts w:hint="eastAsia" w:ascii="仿宋" w:hAnsi="仿宋" w:eastAsia="仿宋" w:cs="仿宋"/>
          <w:bCs/>
          <w:sz w:val="24"/>
          <w:lang w:val="en-US" w:eastAsia="zh-CN"/>
        </w:rPr>
        <w:t>6</w:t>
      </w:r>
      <w:r>
        <w:rPr>
          <w:rFonts w:hint="eastAsia" w:ascii="仿宋" w:hAnsi="仿宋" w:eastAsia="仿宋" w:cs="仿宋"/>
          <w:bCs/>
          <w:sz w:val="24"/>
        </w:rPr>
        <w:t>个关键质控要素，涉及1</w:t>
      </w:r>
      <w:r>
        <w:rPr>
          <w:rFonts w:hint="eastAsia" w:ascii="仿宋" w:hAnsi="仿宋" w:eastAsia="仿宋" w:cs="仿宋"/>
          <w:bCs/>
          <w:sz w:val="24"/>
          <w:lang w:val="en-US" w:eastAsia="zh-CN"/>
        </w:rPr>
        <w:t>7</w:t>
      </w:r>
      <w:r>
        <w:rPr>
          <w:rFonts w:hint="eastAsia" w:ascii="仿宋" w:hAnsi="仿宋" w:eastAsia="仿宋" w:cs="仿宋"/>
          <w:bCs/>
          <w:sz w:val="24"/>
        </w:rPr>
        <w:t>个重点质控内容，对照监测预警，对应分工负责，</w:t>
      </w:r>
      <w:r>
        <w:rPr>
          <w:rFonts w:hint="eastAsia" w:ascii="仿宋" w:hAnsi="仿宋" w:eastAsia="仿宋" w:cs="仿宋"/>
          <w:bCs/>
          <w:sz w:val="24"/>
          <w:lang w:val="en-US" w:eastAsia="zh-CN"/>
        </w:rPr>
        <w:t>同时，应提供</w:t>
      </w:r>
      <w:r>
        <w:rPr>
          <w:rFonts w:hint="default" w:ascii="仿宋" w:hAnsi="仿宋" w:eastAsia="仿宋" w:cs="仿宋"/>
          <w:color w:val="000000"/>
          <w:sz w:val="22"/>
          <w:szCs w:val="22"/>
          <w:lang w:val="en-US" w:eastAsia="zh-CN"/>
        </w:rPr>
        <w:t>专业人才培养方案、课程标准、授课计划、教案、备课笔记、课件、教材、课表</w:t>
      </w:r>
      <w:r>
        <w:rPr>
          <w:rFonts w:hint="eastAsia" w:ascii="仿宋" w:hAnsi="仿宋" w:eastAsia="仿宋" w:cs="仿宋"/>
          <w:color w:val="000000"/>
          <w:sz w:val="22"/>
          <w:szCs w:val="22"/>
          <w:lang w:val="en-US" w:eastAsia="zh-CN"/>
        </w:rPr>
        <w:t>、</w:t>
      </w:r>
      <w:r>
        <w:rPr>
          <w:rFonts w:hint="default" w:ascii="仿宋" w:hAnsi="仿宋" w:eastAsia="仿宋" w:cs="仿宋"/>
          <w:color w:val="000000"/>
          <w:sz w:val="22"/>
          <w:szCs w:val="22"/>
          <w:lang w:val="en-US" w:eastAsia="zh-CN"/>
        </w:rPr>
        <w:t>主要教学参考资料、</w:t>
      </w:r>
      <w:r>
        <w:rPr>
          <w:rFonts w:hint="eastAsia" w:ascii="仿宋" w:hAnsi="仿宋" w:eastAsia="仿宋" w:cs="仿宋"/>
          <w:color w:val="000000"/>
          <w:sz w:val="22"/>
          <w:szCs w:val="22"/>
          <w:lang w:val="en-US" w:eastAsia="zh-CN"/>
        </w:rPr>
        <w:t>课程教学档案、课程考核档案、</w:t>
      </w:r>
      <w:r>
        <w:rPr>
          <w:rFonts w:hint="default" w:ascii="仿宋" w:hAnsi="仿宋" w:eastAsia="仿宋" w:cs="仿宋"/>
          <w:color w:val="000000"/>
          <w:sz w:val="22"/>
          <w:szCs w:val="22"/>
          <w:lang w:val="en-US" w:eastAsia="zh-CN"/>
        </w:rPr>
        <w:t>多媒体课件及其他教具等</w:t>
      </w:r>
      <w:r>
        <w:rPr>
          <w:rFonts w:hint="eastAsia" w:ascii="仿宋" w:hAnsi="仿宋" w:eastAsia="仿宋" w:cs="仿宋"/>
          <w:color w:val="000000"/>
          <w:sz w:val="22"/>
          <w:szCs w:val="22"/>
          <w:lang w:val="en-US" w:eastAsia="zh-CN"/>
        </w:rPr>
        <w:t>质控佐证材料</w:t>
      </w:r>
      <w:r>
        <w:rPr>
          <w:rFonts w:hint="eastAsia" w:ascii="仿宋" w:hAnsi="仿宋" w:eastAsia="仿宋" w:cs="仿宋"/>
          <w:bCs/>
          <w:sz w:val="24"/>
          <w:lang w:eastAsia="zh-CN"/>
        </w:rPr>
        <w:t>。</w:t>
      </w:r>
      <w:r>
        <w:rPr>
          <w:rFonts w:hint="eastAsia" w:ascii="仿宋" w:hAnsi="仿宋" w:eastAsia="仿宋" w:cs="仿宋"/>
          <w:bCs/>
          <w:sz w:val="24"/>
        </w:rPr>
        <w:t>具体如下表所示。</w:t>
      </w:r>
    </w:p>
    <w:p>
      <w:pPr>
        <w:adjustRightInd w:val="0"/>
        <w:snapToGrid w:val="0"/>
        <w:spacing w:before="156" w:beforeLines="50" w:line="308" w:lineRule="auto"/>
        <w:jc w:val="center"/>
        <w:rPr>
          <w:rFonts w:hint="eastAsia" w:ascii="仿宋" w:hAnsi="仿宋" w:eastAsia="仿宋" w:cs="仿宋"/>
          <w:b/>
          <w:kern w:val="0"/>
          <w:sz w:val="24"/>
          <w:lang w:val="en-US" w:eastAsia="zh-CN"/>
        </w:rPr>
        <w:sectPr>
          <w:pgSz w:w="11906" w:h="16838"/>
          <w:pgMar w:top="1440" w:right="1417" w:bottom="1440" w:left="1417" w:header="851" w:footer="992" w:gutter="0"/>
          <w:pgNumType w:fmt="decimal"/>
          <w:cols w:space="425" w:num="1"/>
          <w:docGrid w:type="lines" w:linePitch="312" w:charSpace="0"/>
        </w:sectPr>
      </w:pPr>
    </w:p>
    <w:p>
      <w:pPr>
        <w:adjustRightInd w:val="0"/>
        <w:snapToGrid w:val="0"/>
        <w:spacing w:before="156" w:beforeLines="50" w:line="308" w:lineRule="auto"/>
        <w:jc w:val="center"/>
        <w:rPr>
          <w:rFonts w:ascii="仿宋" w:hAnsi="仿宋" w:eastAsia="仿宋" w:cs="仿宋"/>
          <w:bCs/>
          <w:kern w:val="0"/>
          <w:sz w:val="24"/>
        </w:rPr>
      </w:pPr>
      <w:r>
        <w:rPr>
          <w:rFonts w:hint="eastAsia" w:ascii="仿宋" w:hAnsi="仿宋" w:eastAsia="仿宋" w:cs="仿宋"/>
          <w:b/>
          <w:kern w:val="0"/>
          <w:sz w:val="24"/>
          <w:lang w:val="en-US" w:eastAsia="zh-CN"/>
        </w:rPr>
        <w:t>课程</w:t>
      </w:r>
      <w:r>
        <w:rPr>
          <w:rFonts w:hint="eastAsia" w:ascii="仿宋" w:hAnsi="仿宋" w:eastAsia="仿宋" w:cs="仿宋"/>
          <w:b/>
          <w:kern w:val="0"/>
          <w:sz w:val="24"/>
        </w:rPr>
        <w:t>建设质控要素对照监测预警与责任主体表</w:t>
      </w:r>
    </w:p>
    <w:tbl>
      <w:tblPr>
        <w:tblStyle w:val="9"/>
        <w:tblW w:w="8341" w:type="dxa"/>
        <w:jc w:val="center"/>
        <w:tblLayout w:type="autofit"/>
        <w:tblCellMar>
          <w:top w:w="0" w:type="dxa"/>
          <w:left w:w="108" w:type="dxa"/>
          <w:bottom w:w="0" w:type="dxa"/>
          <w:right w:w="108" w:type="dxa"/>
        </w:tblCellMar>
      </w:tblPr>
      <w:tblGrid>
        <w:gridCol w:w="726"/>
        <w:gridCol w:w="674"/>
        <w:gridCol w:w="4304"/>
        <w:gridCol w:w="1086"/>
        <w:gridCol w:w="774"/>
        <w:gridCol w:w="777"/>
      </w:tblGrid>
      <w:tr>
        <w:tblPrEx>
          <w:tblCellMar>
            <w:top w:w="0" w:type="dxa"/>
            <w:left w:w="108" w:type="dxa"/>
            <w:bottom w:w="0" w:type="dxa"/>
            <w:right w:w="108" w:type="dxa"/>
          </w:tblCellMar>
        </w:tblPrEx>
        <w:trPr>
          <w:trHeight w:val="576" w:hRule="atLeast"/>
          <w:jc w:val="cent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b/>
                <w:bCs/>
                <w:color w:val="000000"/>
                <w:sz w:val="22"/>
                <w:szCs w:val="22"/>
              </w:rPr>
            </w:pPr>
            <w:r>
              <w:rPr>
                <w:rFonts w:hint="eastAsia" w:ascii="仿宋" w:hAnsi="仿宋" w:eastAsia="仿宋" w:cs="仿宋"/>
                <w:b/>
                <w:bCs/>
                <w:color w:val="000000"/>
                <w:kern w:val="0"/>
                <w:sz w:val="22"/>
                <w:szCs w:val="22"/>
              </w:rPr>
              <w:t>关键质控要素</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b/>
                <w:bCs/>
                <w:color w:val="000000"/>
                <w:sz w:val="22"/>
                <w:szCs w:val="22"/>
              </w:rPr>
            </w:pPr>
            <w:r>
              <w:rPr>
                <w:rFonts w:hint="eastAsia" w:ascii="仿宋" w:hAnsi="仿宋" w:eastAsia="仿宋" w:cs="仿宋"/>
                <w:b/>
                <w:bCs/>
                <w:color w:val="000000"/>
                <w:kern w:val="0"/>
                <w:sz w:val="22"/>
                <w:szCs w:val="22"/>
              </w:rPr>
              <w:t>重点质控内容</w:t>
            </w:r>
          </w:p>
        </w:tc>
        <w:tc>
          <w:tcPr>
            <w:tcW w:w="43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b/>
                <w:bCs/>
                <w:color w:val="000000"/>
                <w:kern w:val="0"/>
                <w:sz w:val="22"/>
                <w:szCs w:val="22"/>
              </w:rPr>
            </w:pPr>
            <w:r>
              <w:rPr>
                <w:rFonts w:hint="eastAsia" w:ascii="仿宋" w:hAnsi="仿宋" w:eastAsia="仿宋" w:cs="仿宋"/>
                <w:b/>
                <w:bCs/>
                <w:color w:val="000000"/>
                <w:kern w:val="0"/>
                <w:sz w:val="22"/>
                <w:szCs w:val="22"/>
              </w:rPr>
              <w:t>质控</w:t>
            </w:r>
          </w:p>
          <w:p>
            <w:pPr>
              <w:widowControl/>
              <w:spacing w:line="308" w:lineRule="auto"/>
              <w:jc w:val="center"/>
              <w:textAlignment w:val="center"/>
              <w:rPr>
                <w:rFonts w:ascii="仿宋" w:hAnsi="仿宋" w:eastAsia="仿宋" w:cs="仿宋"/>
                <w:b/>
                <w:bCs/>
                <w:color w:val="000000"/>
                <w:kern w:val="0"/>
                <w:sz w:val="22"/>
                <w:szCs w:val="22"/>
              </w:rPr>
            </w:pPr>
            <w:r>
              <w:rPr>
                <w:rFonts w:hint="eastAsia" w:ascii="仿宋" w:hAnsi="仿宋" w:eastAsia="仿宋" w:cs="仿宋"/>
                <w:b/>
                <w:bCs/>
                <w:color w:val="000000"/>
                <w:kern w:val="0"/>
                <w:sz w:val="22"/>
                <w:szCs w:val="22"/>
              </w:rPr>
              <w:t>内涵</w:t>
            </w:r>
          </w:p>
          <w:p>
            <w:pPr>
              <w:widowControl/>
              <w:spacing w:line="308" w:lineRule="auto"/>
              <w:jc w:val="center"/>
              <w:textAlignment w:val="center"/>
              <w:rPr>
                <w:rFonts w:ascii="仿宋" w:hAnsi="仿宋" w:eastAsia="仿宋" w:cs="仿宋"/>
                <w:b/>
                <w:bCs/>
                <w:color w:val="000000"/>
                <w:sz w:val="22"/>
                <w:szCs w:val="22"/>
              </w:rPr>
            </w:pPr>
            <w:r>
              <w:rPr>
                <w:rFonts w:hint="eastAsia" w:ascii="仿宋" w:hAnsi="仿宋" w:eastAsia="仿宋" w:cs="仿宋"/>
                <w:b/>
                <w:bCs/>
                <w:color w:val="000000"/>
                <w:kern w:val="0"/>
                <w:sz w:val="22"/>
                <w:szCs w:val="22"/>
              </w:rPr>
              <w:t>说明</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b/>
                <w:bCs/>
                <w:color w:val="000000"/>
                <w:kern w:val="0"/>
                <w:sz w:val="22"/>
                <w:szCs w:val="22"/>
              </w:rPr>
            </w:pPr>
            <w:r>
              <w:rPr>
                <w:rFonts w:hint="eastAsia" w:ascii="仿宋" w:hAnsi="仿宋" w:eastAsia="仿宋" w:cs="仿宋"/>
                <w:b/>
                <w:bCs/>
                <w:color w:val="000000"/>
                <w:kern w:val="0"/>
                <w:sz w:val="22"/>
                <w:szCs w:val="22"/>
              </w:rPr>
              <w:t>对照</w:t>
            </w:r>
            <w:r>
              <w:rPr>
                <w:rFonts w:hint="eastAsia" w:ascii="仿宋" w:hAnsi="仿宋" w:eastAsia="仿宋" w:cs="仿宋"/>
                <w:b/>
                <w:bCs/>
                <w:color w:val="000000"/>
                <w:kern w:val="0"/>
                <w:sz w:val="22"/>
                <w:szCs w:val="22"/>
              </w:rPr>
              <w:br w:type="textWrapping"/>
            </w:r>
            <w:r>
              <w:rPr>
                <w:rFonts w:hint="eastAsia" w:ascii="仿宋" w:hAnsi="仿宋" w:eastAsia="仿宋" w:cs="仿宋"/>
                <w:b/>
                <w:bCs/>
                <w:color w:val="000000"/>
                <w:kern w:val="0"/>
                <w:sz w:val="22"/>
                <w:szCs w:val="22"/>
              </w:rPr>
              <w:t>监测</w:t>
            </w:r>
          </w:p>
          <w:p>
            <w:pPr>
              <w:widowControl/>
              <w:spacing w:line="308" w:lineRule="auto"/>
              <w:jc w:val="center"/>
              <w:textAlignment w:val="center"/>
              <w:rPr>
                <w:rFonts w:ascii="仿宋" w:hAnsi="仿宋" w:eastAsia="仿宋" w:cs="仿宋"/>
                <w:b/>
                <w:bCs/>
                <w:color w:val="000000"/>
                <w:sz w:val="22"/>
                <w:szCs w:val="22"/>
              </w:rPr>
            </w:pPr>
            <w:r>
              <w:rPr>
                <w:rFonts w:hint="eastAsia" w:ascii="仿宋" w:hAnsi="仿宋" w:eastAsia="仿宋" w:cs="仿宋"/>
                <w:b/>
                <w:bCs/>
                <w:color w:val="000000"/>
                <w:kern w:val="0"/>
                <w:sz w:val="22"/>
                <w:szCs w:val="22"/>
              </w:rPr>
              <w:t>预警</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b/>
                <w:bCs/>
                <w:color w:val="000000"/>
                <w:sz w:val="22"/>
                <w:szCs w:val="22"/>
              </w:rPr>
            </w:pPr>
            <w:r>
              <w:rPr>
                <w:rFonts w:hint="eastAsia" w:ascii="仿宋" w:hAnsi="仿宋" w:eastAsia="仿宋" w:cs="仿宋"/>
                <w:b/>
                <w:bCs/>
                <w:color w:val="000000"/>
                <w:sz w:val="22"/>
                <w:szCs w:val="22"/>
              </w:rPr>
              <w:t>对应</w:t>
            </w:r>
          </w:p>
          <w:p>
            <w:pPr>
              <w:widowControl/>
              <w:spacing w:line="308" w:lineRule="auto"/>
              <w:jc w:val="center"/>
              <w:textAlignment w:val="center"/>
              <w:rPr>
                <w:rFonts w:ascii="仿宋" w:hAnsi="仿宋" w:eastAsia="仿宋" w:cs="仿宋"/>
                <w:b/>
                <w:bCs/>
                <w:color w:val="000000"/>
                <w:sz w:val="22"/>
                <w:szCs w:val="22"/>
              </w:rPr>
            </w:pPr>
            <w:r>
              <w:rPr>
                <w:rFonts w:hint="eastAsia" w:ascii="仿宋" w:hAnsi="仿宋" w:eastAsia="仿宋" w:cs="仿宋"/>
                <w:b/>
                <w:bCs/>
                <w:color w:val="000000"/>
                <w:sz w:val="22"/>
                <w:szCs w:val="22"/>
              </w:rPr>
              <w:t>负责</w:t>
            </w:r>
          </w:p>
          <w:p>
            <w:pPr>
              <w:widowControl/>
              <w:spacing w:line="308" w:lineRule="auto"/>
              <w:jc w:val="center"/>
              <w:textAlignment w:val="center"/>
              <w:rPr>
                <w:rFonts w:ascii="仿宋" w:hAnsi="仿宋" w:eastAsia="仿宋" w:cs="仿宋"/>
                <w:b/>
                <w:bCs/>
                <w:color w:val="000000"/>
                <w:kern w:val="0"/>
                <w:sz w:val="22"/>
                <w:szCs w:val="22"/>
              </w:rPr>
            </w:pPr>
            <w:r>
              <w:rPr>
                <w:rFonts w:hint="eastAsia" w:ascii="仿宋" w:hAnsi="仿宋" w:eastAsia="仿宋" w:cs="仿宋"/>
                <w:b/>
                <w:bCs/>
                <w:color w:val="000000"/>
                <w:sz w:val="22"/>
                <w:szCs w:val="22"/>
              </w:rPr>
              <w:t>人</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center"/>
              <w:textAlignment w:val="center"/>
              <w:rPr>
                <w:rFonts w:ascii="仿宋" w:hAnsi="仿宋" w:eastAsia="仿宋" w:cs="仿宋"/>
                <w:b/>
                <w:bCs/>
                <w:color w:val="000000"/>
                <w:sz w:val="22"/>
                <w:szCs w:val="22"/>
              </w:rPr>
            </w:pPr>
            <w:r>
              <w:rPr>
                <w:rFonts w:hint="eastAsia" w:ascii="仿宋" w:hAnsi="仿宋" w:eastAsia="仿宋" w:cs="仿宋"/>
                <w:b/>
                <w:bCs/>
                <w:color w:val="000000"/>
                <w:sz w:val="22"/>
                <w:szCs w:val="22"/>
              </w:rPr>
              <w:t>负责</w:t>
            </w:r>
          </w:p>
          <w:p>
            <w:pPr>
              <w:widowControl/>
              <w:spacing w:line="308" w:lineRule="auto"/>
              <w:jc w:val="center"/>
              <w:textAlignment w:val="center"/>
              <w:rPr>
                <w:rFonts w:ascii="仿宋" w:hAnsi="仿宋" w:eastAsia="仿宋" w:cs="仿宋"/>
                <w:b/>
                <w:bCs/>
                <w:color w:val="000000"/>
                <w:sz w:val="22"/>
                <w:szCs w:val="22"/>
              </w:rPr>
            </w:pPr>
            <w:r>
              <w:rPr>
                <w:rFonts w:hint="eastAsia" w:ascii="仿宋" w:hAnsi="仿宋" w:eastAsia="仿宋" w:cs="仿宋"/>
                <w:b/>
                <w:bCs/>
                <w:color w:val="000000"/>
                <w:sz w:val="22"/>
                <w:szCs w:val="22"/>
              </w:rPr>
              <w:t>人职</w:t>
            </w:r>
          </w:p>
          <w:p>
            <w:pPr>
              <w:widowControl/>
              <w:spacing w:line="308" w:lineRule="auto"/>
              <w:jc w:val="center"/>
              <w:textAlignment w:val="center"/>
              <w:rPr>
                <w:rFonts w:ascii="仿宋" w:hAnsi="仿宋" w:eastAsia="仿宋" w:cs="仿宋"/>
                <w:b/>
                <w:bCs/>
                <w:color w:val="000000"/>
                <w:sz w:val="22"/>
                <w:szCs w:val="22"/>
              </w:rPr>
            </w:pPr>
            <w:r>
              <w:rPr>
                <w:rFonts w:hint="eastAsia" w:ascii="仿宋" w:hAnsi="仿宋" w:eastAsia="仿宋" w:cs="仿宋"/>
                <w:b/>
                <w:bCs/>
                <w:color w:val="000000"/>
                <w:sz w:val="22"/>
                <w:szCs w:val="22"/>
              </w:rPr>
              <w:t>务</w:t>
            </w:r>
          </w:p>
        </w:tc>
      </w:tr>
      <w:tr>
        <w:tblPrEx>
          <w:tblCellMar>
            <w:top w:w="0" w:type="dxa"/>
            <w:left w:w="108" w:type="dxa"/>
            <w:bottom w:w="0" w:type="dxa"/>
            <w:right w:w="108" w:type="dxa"/>
          </w:tblCellMar>
        </w:tblPrEx>
        <w:trPr>
          <w:trHeight w:val="576" w:hRule="atLeast"/>
          <w:jc w:val="center"/>
        </w:trPr>
        <w:tc>
          <w:tcPr>
            <w:tcW w:w="7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color w:val="000000"/>
                <w:sz w:val="22"/>
                <w:szCs w:val="22"/>
              </w:rPr>
              <w:t>课程定位</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color w:val="000000"/>
                <w:sz w:val="22"/>
                <w:szCs w:val="22"/>
              </w:rPr>
              <w:t>课程定位</w:t>
            </w:r>
          </w:p>
        </w:tc>
        <w:tc>
          <w:tcPr>
            <w:tcW w:w="43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color w:val="000000"/>
                <w:sz w:val="22"/>
                <w:szCs w:val="22"/>
              </w:rPr>
              <w:t>课程在专业人才培养目标及在课程体系中的定位准确，其性质与任务是否全面贯彻党的教育方针，落实立德树人根本任务，为学生职业发展、终身学习和服务社会奠定基础；课程对学生综合职业能力培养方面起到主要支撑作用；课程与前、后续课程衔接的关系得当。</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r>
      <w:tr>
        <w:tblPrEx>
          <w:tblCellMar>
            <w:top w:w="0" w:type="dxa"/>
            <w:left w:w="108" w:type="dxa"/>
            <w:bottom w:w="0" w:type="dxa"/>
            <w:right w:w="108" w:type="dxa"/>
          </w:tblCellMar>
        </w:tblPrEx>
        <w:trPr>
          <w:trHeight w:val="576" w:hRule="atLeast"/>
          <w:jc w:val="center"/>
        </w:trPr>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both"/>
              <w:rPr>
                <w:rFonts w:hint="eastAsia" w:ascii="仿宋" w:hAnsi="仿宋" w:eastAsia="仿宋" w:cs="仿宋"/>
                <w:b/>
                <w:bCs/>
                <w:color w:val="000000"/>
                <w:kern w:val="0"/>
                <w:sz w:val="22"/>
                <w:szCs w:val="22"/>
              </w:rPr>
            </w:pP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color w:val="000000"/>
                <w:sz w:val="22"/>
                <w:szCs w:val="22"/>
              </w:rPr>
              <w:t>课程目标</w:t>
            </w:r>
          </w:p>
        </w:tc>
        <w:tc>
          <w:tcPr>
            <w:tcW w:w="43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color w:val="000000"/>
                <w:sz w:val="22"/>
                <w:szCs w:val="22"/>
              </w:rPr>
              <w:t>课程的教学目标准确可测量，既通过本门课程，培养学生知识方面、能力上、职业素养上以及课程思政上达到目标。</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r>
      <w:tr>
        <w:tblPrEx>
          <w:tblCellMar>
            <w:top w:w="0" w:type="dxa"/>
            <w:left w:w="108" w:type="dxa"/>
            <w:bottom w:w="0" w:type="dxa"/>
            <w:right w:w="108" w:type="dxa"/>
          </w:tblCellMar>
        </w:tblPrEx>
        <w:trPr>
          <w:trHeight w:val="576" w:hRule="atLeast"/>
          <w:jc w:val="center"/>
        </w:trPr>
        <w:tc>
          <w:tcPr>
            <w:tcW w:w="7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color w:val="000000"/>
                <w:sz w:val="22"/>
                <w:szCs w:val="22"/>
              </w:rPr>
              <w:t>课程内容设置</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color w:val="000000"/>
                <w:sz w:val="22"/>
                <w:szCs w:val="22"/>
              </w:rPr>
              <w:t>课程内容设置</w:t>
            </w:r>
          </w:p>
        </w:tc>
        <w:tc>
          <w:tcPr>
            <w:tcW w:w="43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color w:val="000000"/>
                <w:sz w:val="22"/>
                <w:szCs w:val="22"/>
              </w:rPr>
            </w:pPr>
            <w:r>
              <w:rPr>
                <w:rFonts w:hint="eastAsia" w:ascii="仿宋" w:hAnsi="仿宋" w:eastAsia="仿宋" w:cs="仿宋"/>
                <w:color w:val="000000"/>
                <w:sz w:val="22"/>
                <w:szCs w:val="22"/>
              </w:rPr>
              <w:t>强化课程思政</w:t>
            </w:r>
            <w:r>
              <w:rPr>
                <w:rFonts w:hint="eastAsia" w:ascii="仿宋" w:hAnsi="仿宋" w:eastAsia="仿宋" w:cs="仿宋"/>
                <w:color w:val="000000"/>
                <w:sz w:val="22"/>
                <w:szCs w:val="22"/>
                <w:lang w:eastAsia="zh-CN"/>
              </w:rPr>
              <w:t>，</w:t>
            </w:r>
            <w:r>
              <w:rPr>
                <w:rFonts w:hint="eastAsia" w:ascii="仿宋" w:hAnsi="仿宋" w:eastAsia="仿宋" w:cs="仿宋"/>
                <w:color w:val="000000"/>
                <w:sz w:val="22"/>
                <w:szCs w:val="22"/>
              </w:rPr>
              <w:t>积极构建“思政课程+课程思政”大格局，推进全员全过程全方位“三全育人”，实现思想政治教育与技术技能培养的有机统一。结合学生特点，创新思政课程教学模式。强化</w:t>
            </w:r>
            <w:r>
              <w:rPr>
                <w:rFonts w:hint="eastAsia" w:ascii="仿宋" w:hAnsi="仿宋" w:eastAsia="仿宋" w:cs="仿宋"/>
                <w:color w:val="000000"/>
                <w:sz w:val="22"/>
                <w:szCs w:val="22"/>
                <w:lang w:val="en-US" w:eastAsia="zh-CN"/>
              </w:rPr>
              <w:t>课程</w:t>
            </w:r>
            <w:r>
              <w:rPr>
                <w:rFonts w:hint="eastAsia" w:ascii="仿宋" w:hAnsi="仿宋" w:eastAsia="仿宋" w:cs="仿宋"/>
                <w:color w:val="000000"/>
                <w:sz w:val="22"/>
                <w:szCs w:val="22"/>
              </w:rPr>
              <w:t>教师立德树人意识，结合人才培养特点和专业能力素质要求，梳理课程蕴含的思想政治教育元素，发挥课程承载的思想政治教育功能，推动</w:t>
            </w:r>
            <w:r>
              <w:rPr>
                <w:rFonts w:hint="eastAsia" w:ascii="仿宋" w:hAnsi="仿宋" w:eastAsia="仿宋" w:cs="仿宋"/>
                <w:color w:val="000000"/>
                <w:sz w:val="22"/>
                <w:szCs w:val="22"/>
                <w:lang w:val="en-US" w:eastAsia="zh-CN"/>
              </w:rPr>
              <w:t>课程</w:t>
            </w:r>
            <w:r>
              <w:rPr>
                <w:rFonts w:hint="eastAsia" w:ascii="仿宋" w:hAnsi="仿宋" w:eastAsia="仿宋" w:cs="仿宋"/>
                <w:color w:val="000000"/>
                <w:sz w:val="22"/>
                <w:szCs w:val="22"/>
              </w:rPr>
              <w:t>教学与思想政治理论课教学紧密结合、同向同行。</w:t>
            </w:r>
          </w:p>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color w:val="000000"/>
                <w:sz w:val="22"/>
                <w:szCs w:val="22"/>
              </w:rPr>
              <w:t>以职业能力为本位，以工作过程为导向，按照科技发展水平和职业资格标准设计课程结构和内容。将职业资格标准融入教学内容，以工作任务组织教学内容，注重专业知识、思想品德、人文素养和实践能力的融合。在校企合作上更加注重企业的参与，合作制订突出职业能力的课程标准。实行“1+X证书”制度教育，着力培养具有较强岗位适应能力的面向行业企业的高素质技术技能人才。</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r>
      <w:tr>
        <w:tblPrEx>
          <w:tblCellMar>
            <w:top w:w="0" w:type="dxa"/>
            <w:left w:w="108" w:type="dxa"/>
            <w:bottom w:w="0" w:type="dxa"/>
            <w:right w:w="108" w:type="dxa"/>
          </w:tblCellMar>
        </w:tblPrEx>
        <w:trPr>
          <w:trHeight w:val="576" w:hRule="atLeast"/>
          <w:jc w:val="center"/>
        </w:trPr>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both"/>
              <w:rPr>
                <w:rFonts w:hint="eastAsia" w:ascii="仿宋" w:hAnsi="仿宋" w:eastAsia="仿宋" w:cs="仿宋"/>
                <w:b/>
                <w:bCs/>
                <w:color w:val="000000"/>
                <w:kern w:val="0"/>
                <w:sz w:val="22"/>
                <w:szCs w:val="22"/>
              </w:rPr>
            </w:pP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color w:val="000000"/>
                <w:sz w:val="22"/>
                <w:szCs w:val="22"/>
              </w:rPr>
              <w:t>学时安排</w:t>
            </w:r>
          </w:p>
        </w:tc>
        <w:tc>
          <w:tcPr>
            <w:tcW w:w="43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color w:val="000000"/>
                <w:sz w:val="22"/>
                <w:szCs w:val="22"/>
              </w:rPr>
              <w:t>课程内容的组织与安排、学时分配合理，注重实践教学，实践教学的内容和课时比例有侧重等。</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r>
      <w:tr>
        <w:tblPrEx>
          <w:tblCellMar>
            <w:top w:w="0" w:type="dxa"/>
            <w:left w:w="108" w:type="dxa"/>
            <w:bottom w:w="0" w:type="dxa"/>
            <w:right w:w="108" w:type="dxa"/>
          </w:tblCellMar>
        </w:tblPrEx>
        <w:trPr>
          <w:trHeight w:val="576" w:hRule="atLeast"/>
          <w:jc w:val="center"/>
        </w:trPr>
        <w:tc>
          <w:tcPr>
            <w:tcW w:w="7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color w:val="000000"/>
                <w:sz w:val="22"/>
                <w:szCs w:val="22"/>
              </w:rPr>
              <w:t>课程设计</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color w:val="auto"/>
                <w:sz w:val="22"/>
                <w:szCs w:val="22"/>
                <w:lang w:val="en-US" w:eastAsia="zh-CN"/>
              </w:rPr>
              <w:t>学情分析</w:t>
            </w:r>
          </w:p>
        </w:tc>
        <w:tc>
          <w:tcPr>
            <w:tcW w:w="4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tabs>
                <w:tab w:val="left" w:pos="1050"/>
              </w:tabs>
              <w:kinsoku/>
              <w:wordWrap/>
              <w:overflowPunct/>
              <w:topLinePunct w:val="0"/>
              <w:autoSpaceDE/>
              <w:autoSpaceDN/>
              <w:bidi w:val="0"/>
              <w:adjustRightInd/>
              <w:snapToGrid/>
              <w:spacing w:line="308" w:lineRule="auto"/>
              <w:jc w:val="both"/>
              <w:textAlignment w:val="auto"/>
              <w:rPr>
                <w:rFonts w:hint="eastAsia" w:ascii="仿宋" w:hAnsi="仿宋" w:eastAsia="仿宋" w:cs="仿宋"/>
                <w:b/>
                <w:bCs/>
                <w:color w:val="000000"/>
                <w:kern w:val="0"/>
                <w:sz w:val="22"/>
                <w:szCs w:val="22"/>
              </w:rPr>
            </w:pPr>
            <w:r>
              <w:rPr>
                <w:rFonts w:hint="eastAsia" w:ascii="仿宋" w:hAnsi="仿宋" w:eastAsia="仿宋" w:cs="仿宋"/>
                <w:color w:val="auto"/>
                <w:sz w:val="22"/>
                <w:szCs w:val="22"/>
                <w:lang w:val="en-US" w:eastAsia="zh-CN"/>
              </w:rPr>
              <w:t>有开展教学对象分析，对学生学习本课的原有基础和现有困难分析准确。有采取教学对策帮助学生克服学习上的困难和心理障碍，能够因材施教，有利于提高学习成效。</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r>
      <w:tr>
        <w:tblPrEx>
          <w:tblCellMar>
            <w:top w:w="0" w:type="dxa"/>
            <w:left w:w="108" w:type="dxa"/>
            <w:bottom w:w="0" w:type="dxa"/>
            <w:right w:w="108" w:type="dxa"/>
          </w:tblCellMar>
        </w:tblPrEx>
        <w:trPr>
          <w:trHeight w:val="576" w:hRule="atLeast"/>
          <w:jc w:val="center"/>
        </w:trPr>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color w:val="auto"/>
                <w:sz w:val="22"/>
                <w:szCs w:val="22"/>
                <w:lang w:val="en-US" w:eastAsia="zh-CN"/>
              </w:rPr>
              <w:t>教学方法</w:t>
            </w:r>
          </w:p>
        </w:tc>
        <w:tc>
          <w:tcPr>
            <w:tcW w:w="4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tabs>
                <w:tab w:val="left" w:pos="1050"/>
              </w:tabs>
              <w:kinsoku/>
              <w:wordWrap/>
              <w:overflowPunct/>
              <w:topLinePunct w:val="0"/>
              <w:autoSpaceDE/>
              <w:autoSpaceDN/>
              <w:bidi w:val="0"/>
              <w:adjustRightInd/>
              <w:snapToGrid/>
              <w:spacing w:line="308" w:lineRule="auto"/>
              <w:jc w:val="both"/>
              <w:textAlignment w:val="auto"/>
              <w:rPr>
                <w:rFonts w:hint="eastAsia" w:ascii="仿宋" w:hAnsi="仿宋" w:eastAsia="仿宋" w:cs="仿宋"/>
                <w:b/>
                <w:bCs/>
                <w:color w:val="000000"/>
                <w:kern w:val="0"/>
                <w:sz w:val="22"/>
                <w:szCs w:val="22"/>
              </w:rPr>
            </w:pPr>
            <w:r>
              <w:rPr>
                <w:rFonts w:hint="eastAsia" w:ascii="仿宋" w:hAnsi="仿宋" w:eastAsia="仿宋" w:cs="仿宋"/>
                <w:bCs/>
                <w:color w:val="auto"/>
                <w:sz w:val="22"/>
                <w:szCs w:val="22"/>
              </w:rPr>
              <w:t>有组织开发专业课程标准和教案</w:t>
            </w:r>
            <w:r>
              <w:rPr>
                <w:rFonts w:hint="eastAsia" w:ascii="仿宋" w:hAnsi="仿宋" w:eastAsia="仿宋" w:cs="仿宋"/>
                <w:bCs/>
                <w:color w:val="auto"/>
                <w:sz w:val="22"/>
                <w:szCs w:val="22"/>
                <w:lang w:eastAsia="zh-CN"/>
              </w:rPr>
              <w:t>。</w:t>
            </w:r>
            <w:r>
              <w:rPr>
                <w:rFonts w:hint="eastAsia" w:ascii="仿宋" w:hAnsi="仿宋" w:eastAsia="仿宋" w:cs="仿宋"/>
                <w:bCs/>
                <w:color w:val="auto"/>
                <w:sz w:val="22"/>
                <w:szCs w:val="22"/>
              </w:rPr>
              <w:t>有根据专业人才培养方案总体要求，制（修）订专业课程标准，明确课程目标，优化课程内容，规范教学过程，及时将新技术、新工艺、新规范纳入课程标准和教学内容。有指导教师准确把握课程教学要求，规范编写、严格执行教案，做好课程总体设计，按程序选用教材，合理运用各类教学资源，做好教学组织实施。</w:t>
            </w:r>
            <w:r>
              <w:rPr>
                <w:rFonts w:hint="eastAsia" w:ascii="仿宋" w:hAnsi="仿宋" w:eastAsia="仿宋" w:cs="仿宋"/>
                <w:color w:val="auto"/>
                <w:sz w:val="22"/>
                <w:szCs w:val="22"/>
                <w:lang w:val="en-US" w:eastAsia="zh-CN"/>
              </w:rPr>
              <w:t>教学设计科学可行，以产教融合为切入点，以职业能力培养为重点，与行业企业合作进行基于工作过程的课程开发与设计，体现“教、学、做”一体化应用和以学生为中心的教学思想。重视学生在校学习与实际工作的一致性，有针对性地采取工学结合、任务驱动、项目导向、课堂与实习地点一体化等行动导向的教学模式。要特别强调使用适合培养职业技能和职业素养的案例教学法、情境教学法、讨论教学法、自学辅导法等教学方法的改革在激发学生学习兴趣和提高教学效果方面的实效。注重学生可持续发展和创新精神培养充分体现，即职业性、实践性和开放性的要求。有体现模块或项目设计的框架思路及内容的详略安排，突出能力培养，突显教学重点的环节设计，课程的重点、难点有解决办法、有突破具体步骤；</w:t>
            </w:r>
            <w:r>
              <w:rPr>
                <w:rFonts w:hint="eastAsia" w:ascii="仿宋" w:hAnsi="仿宋" w:eastAsia="仿宋" w:cs="仿宋"/>
                <w:bCs/>
                <w:color w:val="auto"/>
                <w:sz w:val="22"/>
                <w:szCs w:val="22"/>
              </w:rPr>
              <w:t>准确把握课程教学要求，规范编写、严格执行教案</w:t>
            </w:r>
            <w:r>
              <w:rPr>
                <w:rFonts w:hint="eastAsia" w:ascii="仿宋" w:hAnsi="仿宋" w:eastAsia="仿宋" w:cs="仿宋"/>
                <w:bCs/>
                <w:color w:val="auto"/>
                <w:sz w:val="22"/>
                <w:szCs w:val="22"/>
                <w:lang w:eastAsia="zh-CN"/>
              </w:rPr>
              <w:t>。</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r>
      <w:tr>
        <w:tblPrEx>
          <w:tblCellMar>
            <w:top w:w="0" w:type="dxa"/>
            <w:left w:w="108" w:type="dxa"/>
            <w:bottom w:w="0" w:type="dxa"/>
            <w:right w:w="108" w:type="dxa"/>
          </w:tblCellMar>
        </w:tblPrEx>
        <w:trPr>
          <w:trHeight w:val="576" w:hRule="atLeast"/>
          <w:jc w:val="center"/>
        </w:trPr>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color w:val="auto"/>
                <w:sz w:val="22"/>
                <w:szCs w:val="22"/>
                <w:lang w:val="en-US" w:eastAsia="zh-CN"/>
              </w:rPr>
              <w:t>教学手段</w:t>
            </w:r>
          </w:p>
        </w:tc>
        <w:tc>
          <w:tcPr>
            <w:tcW w:w="4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tabs>
                <w:tab w:val="left" w:pos="1050"/>
              </w:tabs>
              <w:kinsoku/>
              <w:wordWrap/>
              <w:overflowPunct/>
              <w:topLinePunct w:val="0"/>
              <w:autoSpaceDE/>
              <w:autoSpaceDN/>
              <w:bidi w:val="0"/>
              <w:adjustRightInd/>
              <w:snapToGrid/>
              <w:spacing w:line="308" w:lineRule="auto"/>
              <w:jc w:val="both"/>
              <w:textAlignment w:val="auto"/>
              <w:rPr>
                <w:rFonts w:hint="eastAsia" w:ascii="仿宋" w:hAnsi="仿宋" w:eastAsia="仿宋" w:cs="仿宋"/>
                <w:b/>
                <w:bCs/>
                <w:color w:val="000000"/>
                <w:kern w:val="0"/>
                <w:sz w:val="22"/>
                <w:szCs w:val="22"/>
              </w:rPr>
            </w:pPr>
            <w:r>
              <w:rPr>
                <w:rFonts w:hint="eastAsia" w:ascii="仿宋" w:hAnsi="仿宋" w:eastAsia="仿宋" w:cs="仿宋"/>
                <w:color w:val="auto"/>
                <w:sz w:val="22"/>
                <w:szCs w:val="22"/>
                <w:lang w:val="en-US" w:eastAsia="zh-CN"/>
              </w:rPr>
              <w:t xml:space="preserve">科学地使用现代教育技术手段和网络教学资源开展教学活动，协调传统教学手段和现代教育技术的应用。 </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r>
      <w:tr>
        <w:tblPrEx>
          <w:tblCellMar>
            <w:top w:w="0" w:type="dxa"/>
            <w:left w:w="108" w:type="dxa"/>
            <w:bottom w:w="0" w:type="dxa"/>
            <w:right w:w="108" w:type="dxa"/>
          </w:tblCellMar>
        </w:tblPrEx>
        <w:trPr>
          <w:trHeight w:val="576" w:hRule="atLeast"/>
          <w:jc w:val="center"/>
        </w:trPr>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color w:val="auto"/>
                <w:sz w:val="22"/>
                <w:szCs w:val="22"/>
                <w:lang w:val="en-US" w:eastAsia="zh-CN"/>
              </w:rPr>
              <w:t>考核评价</w:t>
            </w:r>
          </w:p>
        </w:tc>
        <w:tc>
          <w:tcPr>
            <w:tcW w:w="4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tabs>
                <w:tab w:val="left" w:pos="1050"/>
              </w:tabs>
              <w:kinsoku/>
              <w:wordWrap/>
              <w:overflowPunct/>
              <w:topLinePunct w:val="0"/>
              <w:autoSpaceDE/>
              <w:autoSpaceDN/>
              <w:bidi w:val="0"/>
              <w:adjustRightInd/>
              <w:snapToGrid/>
              <w:spacing w:line="308" w:lineRule="auto"/>
              <w:jc w:val="both"/>
              <w:textAlignment w:val="auto"/>
              <w:rPr>
                <w:rFonts w:hint="eastAsia" w:ascii="仿宋" w:hAnsi="仿宋" w:eastAsia="仿宋" w:cs="仿宋"/>
                <w:b/>
                <w:bCs/>
                <w:color w:val="000000"/>
                <w:kern w:val="0"/>
                <w:sz w:val="22"/>
                <w:szCs w:val="22"/>
              </w:rPr>
            </w:pPr>
            <w:r>
              <w:rPr>
                <w:rFonts w:hint="eastAsia" w:ascii="仿宋" w:hAnsi="仿宋" w:eastAsia="仿宋" w:cs="仿宋"/>
                <w:color w:val="auto"/>
                <w:sz w:val="22"/>
                <w:szCs w:val="22"/>
                <w:lang w:val="en-US" w:eastAsia="zh-CN"/>
              </w:rPr>
              <w:t>课程对学生学习效果所采用的考核方式方法及成绩评定办法有依据。课程考核从知识、技能、素养、课程思政四方面寻找指标。有关注学习者的个体差异，采用过程性评价、结果性评价及其组合等多样的考核方式进行。</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r>
      <w:tr>
        <w:tblPrEx>
          <w:tblCellMar>
            <w:top w:w="0" w:type="dxa"/>
            <w:left w:w="108" w:type="dxa"/>
            <w:bottom w:w="0" w:type="dxa"/>
            <w:right w:w="108" w:type="dxa"/>
          </w:tblCellMar>
        </w:tblPrEx>
        <w:trPr>
          <w:trHeight w:val="576" w:hRule="atLeast"/>
          <w:jc w:val="center"/>
        </w:trPr>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color w:val="auto"/>
                <w:sz w:val="22"/>
                <w:szCs w:val="22"/>
                <w:lang w:val="en-US" w:eastAsia="zh-CN"/>
              </w:rPr>
              <w:t>课程评价</w:t>
            </w:r>
          </w:p>
        </w:tc>
        <w:tc>
          <w:tcPr>
            <w:tcW w:w="43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ind w:left="0" w:leftChars="0" w:firstLine="0" w:firstLineChars="0"/>
              <w:jc w:val="both"/>
              <w:rPr>
                <w:rFonts w:hint="eastAsia" w:ascii="仿宋" w:hAnsi="仿宋" w:eastAsia="仿宋" w:cs="仿宋"/>
                <w:b/>
                <w:bCs/>
                <w:color w:val="000000"/>
                <w:kern w:val="0"/>
                <w:sz w:val="22"/>
                <w:szCs w:val="22"/>
                <w:lang w:val="en-US" w:eastAsia="zh-CN" w:bidi="ar-SA"/>
              </w:rPr>
            </w:pPr>
            <w:r>
              <w:rPr>
                <w:rFonts w:hint="eastAsia" w:ascii="仿宋" w:hAnsi="仿宋" w:eastAsia="仿宋" w:cs="仿宋"/>
                <w:color w:val="auto"/>
                <w:kern w:val="0"/>
                <w:sz w:val="22"/>
                <w:szCs w:val="22"/>
                <w:lang w:val="en-US" w:eastAsia="zh-CN" w:bidi="ar-SA"/>
              </w:rPr>
              <w:t>有开展教师自我评价、学生评教、同行听课评价、督导评价与教学巡查。</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r>
      <w:tr>
        <w:tblPrEx>
          <w:tblCellMar>
            <w:top w:w="0" w:type="dxa"/>
            <w:left w:w="108" w:type="dxa"/>
            <w:bottom w:w="0" w:type="dxa"/>
            <w:right w:w="108" w:type="dxa"/>
          </w:tblCellMar>
        </w:tblPrEx>
        <w:trPr>
          <w:trHeight w:val="576" w:hRule="atLeast"/>
          <w:jc w:val="center"/>
        </w:trPr>
        <w:tc>
          <w:tcPr>
            <w:tcW w:w="7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color w:val="000000"/>
                <w:sz w:val="22"/>
                <w:szCs w:val="22"/>
              </w:rPr>
              <w:t>课程实施保障</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b w:val="0"/>
                <w:bCs w:val="0"/>
                <w:color w:val="auto"/>
                <w:sz w:val="22"/>
                <w:szCs w:val="22"/>
                <w:lang w:val="en-US" w:eastAsia="zh-CN"/>
              </w:rPr>
              <w:t>教学团队</w:t>
            </w:r>
          </w:p>
        </w:tc>
        <w:tc>
          <w:tcPr>
            <w:tcW w:w="4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tabs>
                <w:tab w:val="left" w:pos="1050"/>
              </w:tabs>
              <w:kinsoku/>
              <w:wordWrap/>
              <w:overflowPunct/>
              <w:topLinePunct w:val="0"/>
              <w:autoSpaceDE/>
              <w:autoSpaceDN/>
              <w:bidi w:val="0"/>
              <w:adjustRightInd/>
              <w:snapToGrid/>
              <w:spacing w:line="308" w:lineRule="auto"/>
              <w:jc w:val="both"/>
              <w:textAlignment w:val="auto"/>
              <w:rPr>
                <w:rFonts w:hint="eastAsia" w:ascii="仿宋" w:hAnsi="仿宋" w:eastAsia="仿宋" w:cs="仿宋"/>
                <w:b/>
                <w:bCs/>
                <w:color w:val="000000"/>
                <w:kern w:val="0"/>
                <w:sz w:val="22"/>
                <w:szCs w:val="22"/>
              </w:rPr>
            </w:pPr>
            <w:r>
              <w:rPr>
                <w:rFonts w:hint="eastAsia" w:ascii="仿宋" w:hAnsi="仿宋" w:eastAsia="仿宋" w:cs="仿宋"/>
                <w:b w:val="0"/>
                <w:bCs w:val="0"/>
                <w:color w:val="auto"/>
                <w:sz w:val="22"/>
                <w:szCs w:val="22"/>
                <w:lang w:val="en-US" w:eastAsia="zh-CN"/>
              </w:rPr>
              <w:t>课程教学团队的规模适度；专任教师和兼职教师比例协调；教师双师素质和社会实践能力能满足课程教学需要；课程教学团队具备较强的职业培训、技能鉴定、技术服务能力；制定了课程团队的建设与发展规划；具备指导学生进行项目开发和综合实践的能力等。</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r>
      <w:tr>
        <w:tblPrEx>
          <w:tblCellMar>
            <w:top w:w="0" w:type="dxa"/>
            <w:left w:w="108" w:type="dxa"/>
            <w:bottom w:w="0" w:type="dxa"/>
            <w:right w:w="108" w:type="dxa"/>
          </w:tblCellMar>
        </w:tblPrEx>
        <w:trPr>
          <w:trHeight w:val="576" w:hRule="atLeast"/>
          <w:jc w:val="center"/>
        </w:trPr>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b w:val="0"/>
                <w:bCs w:val="0"/>
                <w:color w:val="auto"/>
                <w:sz w:val="22"/>
                <w:szCs w:val="22"/>
                <w:lang w:val="en-US" w:eastAsia="zh-CN"/>
              </w:rPr>
              <w:t>教学资源</w:t>
            </w:r>
          </w:p>
        </w:tc>
        <w:tc>
          <w:tcPr>
            <w:tcW w:w="4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tabs>
                <w:tab w:val="left" w:pos="1050"/>
              </w:tabs>
              <w:kinsoku/>
              <w:wordWrap/>
              <w:overflowPunct/>
              <w:topLinePunct w:val="0"/>
              <w:autoSpaceDE/>
              <w:autoSpaceDN/>
              <w:bidi w:val="0"/>
              <w:adjustRightInd/>
              <w:snapToGrid/>
              <w:spacing w:line="308" w:lineRule="auto"/>
              <w:jc w:val="both"/>
              <w:textAlignment w:val="auto"/>
              <w:rPr>
                <w:rFonts w:hint="eastAsia" w:ascii="仿宋" w:hAnsi="仿宋" w:eastAsia="仿宋" w:cs="仿宋"/>
                <w:b/>
                <w:bCs/>
                <w:color w:val="000000"/>
                <w:kern w:val="0"/>
                <w:sz w:val="22"/>
                <w:szCs w:val="22"/>
              </w:rPr>
            </w:pPr>
            <w:r>
              <w:rPr>
                <w:rFonts w:hint="eastAsia" w:ascii="仿宋" w:hAnsi="仿宋" w:eastAsia="仿宋" w:cs="仿宋"/>
                <w:bCs/>
                <w:color w:val="auto"/>
                <w:sz w:val="22"/>
                <w:szCs w:val="22"/>
              </w:rPr>
              <w:t>图书资料、优质教学资源和网络信息资源等充分开发利用</w:t>
            </w:r>
            <w:r>
              <w:rPr>
                <w:rFonts w:hint="eastAsia" w:ascii="仿宋" w:hAnsi="仿宋" w:eastAsia="仿宋" w:cs="仿宋"/>
                <w:bCs/>
                <w:color w:val="auto"/>
                <w:sz w:val="22"/>
                <w:szCs w:val="22"/>
                <w:lang w:eastAsia="zh-CN"/>
              </w:rPr>
              <w:t>；</w:t>
            </w:r>
            <w:r>
              <w:rPr>
                <w:rFonts w:hint="eastAsia" w:ascii="仿宋" w:hAnsi="仿宋" w:eastAsia="仿宋" w:cs="仿宋"/>
                <w:b w:val="0"/>
                <w:bCs w:val="0"/>
                <w:color w:val="auto"/>
                <w:sz w:val="22"/>
                <w:szCs w:val="22"/>
                <w:lang w:val="en-US" w:eastAsia="zh-CN"/>
              </w:rPr>
              <w:t>课程数字化教学资源建设满足专业人才培养的需求；专业教学资源库建设满足课程的教学需求（如国家级、省级资源库建设平台等）；建设了一批优质的专业课程教学资源（如在线开放课程平台、网络课程平台等），资源使用效率高，并形成了可持续开发、应用机制；利用现代信息技术开发了虚拟的、仿真实训教学项目或教学课件；教师开展线上教学、学生在线学习的相关制度完善等。</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r>
      <w:tr>
        <w:tblPrEx>
          <w:tblCellMar>
            <w:top w:w="0" w:type="dxa"/>
            <w:left w:w="108" w:type="dxa"/>
            <w:bottom w:w="0" w:type="dxa"/>
            <w:right w:w="108" w:type="dxa"/>
          </w:tblCellMar>
        </w:tblPrEx>
        <w:trPr>
          <w:trHeight w:val="576" w:hRule="atLeast"/>
          <w:jc w:val="center"/>
        </w:trPr>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b w:val="0"/>
                <w:bCs w:val="0"/>
                <w:color w:val="auto"/>
                <w:sz w:val="22"/>
                <w:szCs w:val="22"/>
                <w:lang w:val="en-US" w:eastAsia="zh-CN"/>
              </w:rPr>
              <w:t>教材建设</w:t>
            </w:r>
          </w:p>
        </w:tc>
        <w:tc>
          <w:tcPr>
            <w:tcW w:w="4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tabs>
                <w:tab w:val="left" w:pos="1050"/>
              </w:tabs>
              <w:kinsoku/>
              <w:wordWrap/>
              <w:overflowPunct/>
              <w:topLinePunct w:val="0"/>
              <w:autoSpaceDE/>
              <w:autoSpaceDN/>
              <w:bidi w:val="0"/>
              <w:adjustRightInd/>
              <w:snapToGrid/>
              <w:spacing w:line="308" w:lineRule="auto"/>
              <w:jc w:val="both"/>
              <w:textAlignment w:val="auto"/>
              <w:rPr>
                <w:rFonts w:hint="eastAsia" w:ascii="仿宋" w:hAnsi="仿宋" w:eastAsia="仿宋" w:cs="仿宋"/>
                <w:b/>
                <w:bCs/>
                <w:color w:val="000000"/>
                <w:kern w:val="0"/>
                <w:sz w:val="22"/>
                <w:szCs w:val="22"/>
              </w:rPr>
            </w:pPr>
            <w:r>
              <w:rPr>
                <w:rFonts w:hint="eastAsia" w:ascii="仿宋" w:hAnsi="仿宋" w:eastAsia="仿宋" w:cs="仿宋"/>
                <w:b w:val="0"/>
                <w:bCs w:val="0"/>
                <w:color w:val="auto"/>
                <w:sz w:val="22"/>
                <w:szCs w:val="22"/>
                <w:lang w:val="en-US" w:eastAsia="zh-CN"/>
              </w:rPr>
              <w:t>建立了建材开发和选用制度；</w:t>
            </w:r>
            <w:r>
              <w:rPr>
                <w:rFonts w:hint="eastAsia" w:ascii="仿宋" w:hAnsi="仿宋" w:eastAsia="仿宋" w:cs="仿宋"/>
                <w:bCs/>
                <w:color w:val="auto"/>
                <w:sz w:val="22"/>
                <w:szCs w:val="22"/>
              </w:rPr>
              <w:t>注重与行业、企业合作开发课程和教材，选用优秀高职教材</w:t>
            </w:r>
            <w:r>
              <w:rPr>
                <w:rFonts w:hint="eastAsia" w:ascii="仿宋" w:hAnsi="仿宋" w:eastAsia="仿宋" w:cs="仿宋"/>
                <w:b w:val="0"/>
                <w:bCs w:val="0"/>
                <w:color w:val="auto"/>
                <w:sz w:val="22"/>
                <w:szCs w:val="22"/>
                <w:lang w:val="en-US" w:eastAsia="zh-CN"/>
              </w:rPr>
              <w:t>；课程实训教材完成开发，有开发针对学生创新创业能力培养的虚拟、仿真实教学培训案例教程等。</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r>
      <w:tr>
        <w:tblPrEx>
          <w:tblCellMar>
            <w:top w:w="0" w:type="dxa"/>
            <w:left w:w="108" w:type="dxa"/>
            <w:bottom w:w="0" w:type="dxa"/>
            <w:right w:w="108" w:type="dxa"/>
          </w:tblCellMar>
        </w:tblPrEx>
        <w:trPr>
          <w:trHeight w:val="576" w:hRule="atLeast"/>
          <w:jc w:val="center"/>
        </w:trPr>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b w:val="0"/>
                <w:bCs w:val="0"/>
                <w:color w:val="auto"/>
                <w:sz w:val="22"/>
                <w:szCs w:val="22"/>
                <w:lang w:val="en-US" w:eastAsia="zh-CN"/>
              </w:rPr>
              <w:t>实践教学条件</w:t>
            </w:r>
          </w:p>
        </w:tc>
        <w:tc>
          <w:tcPr>
            <w:tcW w:w="43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b w:val="0"/>
                <w:bCs w:val="0"/>
                <w:color w:val="auto"/>
                <w:sz w:val="22"/>
                <w:szCs w:val="22"/>
                <w:lang w:val="en-US" w:eastAsia="zh-CN"/>
              </w:rPr>
              <w:t>校内与课程相关实训室的管理规范，有较高的使用效率；实训室数量、设备配置等满足课程的教学、生产、科研和社会服务的需求；与企业共建了针对课程实训的校外实习实训基地，</w:t>
            </w:r>
            <w:r>
              <w:rPr>
                <w:rFonts w:hint="eastAsia" w:ascii="仿宋" w:hAnsi="仿宋" w:eastAsia="仿宋" w:cs="仿宋"/>
                <w:bCs/>
                <w:color w:val="auto"/>
                <w:sz w:val="22"/>
                <w:szCs w:val="22"/>
              </w:rPr>
              <w:t>运行状态良好、保障机制完善</w:t>
            </w:r>
            <w:r>
              <w:rPr>
                <w:rFonts w:hint="eastAsia" w:ascii="仿宋" w:hAnsi="仿宋" w:eastAsia="仿宋" w:cs="仿宋"/>
                <w:b w:val="0"/>
                <w:bCs w:val="0"/>
                <w:color w:val="auto"/>
                <w:sz w:val="22"/>
                <w:szCs w:val="22"/>
                <w:lang w:val="en-US" w:eastAsia="zh-CN"/>
              </w:rPr>
              <w:t>；提供了与课程相关的创新创业教育平台等。</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r>
      <w:tr>
        <w:tblPrEx>
          <w:tblCellMar>
            <w:top w:w="0" w:type="dxa"/>
            <w:left w:w="108" w:type="dxa"/>
            <w:bottom w:w="0" w:type="dxa"/>
            <w:right w:w="108" w:type="dxa"/>
          </w:tblCellMar>
        </w:tblPrEx>
        <w:trPr>
          <w:trHeight w:val="576" w:hRule="atLeast"/>
          <w:jc w:val="center"/>
        </w:trPr>
        <w:tc>
          <w:tcPr>
            <w:tcW w:w="7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color w:val="000000"/>
                <w:sz w:val="22"/>
                <w:szCs w:val="22"/>
              </w:rPr>
              <w:t>课程建设成效</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b w:val="0"/>
                <w:bCs w:val="0"/>
                <w:color w:val="auto"/>
                <w:sz w:val="22"/>
                <w:szCs w:val="22"/>
                <w:lang w:val="en-US" w:eastAsia="zh-CN"/>
              </w:rPr>
              <w:t>实践教学成效</w:t>
            </w:r>
          </w:p>
        </w:tc>
        <w:tc>
          <w:tcPr>
            <w:tcW w:w="4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tabs>
                <w:tab w:val="left" w:pos="1050"/>
              </w:tabs>
              <w:kinsoku/>
              <w:wordWrap/>
              <w:overflowPunct/>
              <w:topLinePunct w:val="0"/>
              <w:autoSpaceDE/>
              <w:autoSpaceDN/>
              <w:bidi w:val="0"/>
              <w:adjustRightInd/>
              <w:snapToGrid/>
              <w:spacing w:line="308" w:lineRule="auto"/>
              <w:jc w:val="both"/>
              <w:textAlignment w:val="auto"/>
              <w:rPr>
                <w:rFonts w:hint="eastAsia" w:ascii="仿宋" w:hAnsi="仿宋" w:eastAsia="仿宋" w:cs="仿宋"/>
                <w:b/>
                <w:bCs/>
                <w:color w:val="000000"/>
                <w:kern w:val="0"/>
                <w:sz w:val="22"/>
                <w:szCs w:val="22"/>
              </w:rPr>
            </w:pPr>
            <w:r>
              <w:rPr>
                <w:rFonts w:hint="eastAsia" w:ascii="仿宋" w:hAnsi="仿宋" w:eastAsia="仿宋" w:cs="仿宋"/>
                <w:bCs/>
                <w:color w:val="auto"/>
                <w:sz w:val="22"/>
                <w:szCs w:val="22"/>
              </w:rPr>
              <w:t>能根据职业能力培养的需要设计实践教学体系，</w:t>
            </w:r>
            <w:r>
              <w:rPr>
                <w:rFonts w:hint="eastAsia" w:ascii="仿宋" w:hAnsi="仿宋" w:eastAsia="仿宋" w:cs="仿宋"/>
                <w:b w:val="0"/>
                <w:bCs w:val="0"/>
                <w:color w:val="auto"/>
                <w:sz w:val="22"/>
                <w:szCs w:val="22"/>
                <w:lang w:val="en-US" w:eastAsia="zh-CN"/>
              </w:rPr>
              <w:t>体现“岗课赛证，四位一体”；</w:t>
            </w:r>
            <w:r>
              <w:rPr>
                <w:rFonts w:hint="eastAsia" w:ascii="仿宋" w:hAnsi="仿宋" w:eastAsia="仿宋" w:cs="仿宋"/>
                <w:bCs/>
                <w:color w:val="auto"/>
                <w:sz w:val="22"/>
                <w:szCs w:val="22"/>
              </w:rPr>
              <w:t>以真实的工作任务为载体设计实践教学项目与内容；生产性实训与顶岗实习安排合理、有效，有一线企业兼职教师参与教学、指导与考核。实践教学文件齐全。</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r>
      <w:tr>
        <w:tblPrEx>
          <w:tblCellMar>
            <w:top w:w="0" w:type="dxa"/>
            <w:left w:w="108" w:type="dxa"/>
            <w:bottom w:w="0" w:type="dxa"/>
            <w:right w:w="108" w:type="dxa"/>
          </w:tblCellMar>
        </w:tblPrEx>
        <w:trPr>
          <w:trHeight w:val="576" w:hRule="atLeast"/>
          <w:jc w:val="center"/>
        </w:trPr>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both"/>
              <w:rPr>
                <w:rFonts w:hint="eastAsia" w:ascii="仿宋" w:hAnsi="仿宋" w:eastAsia="仿宋" w:cs="仿宋"/>
                <w:b/>
                <w:bCs/>
                <w:color w:val="000000"/>
                <w:kern w:val="0"/>
                <w:sz w:val="22"/>
                <w:szCs w:val="22"/>
              </w:rPr>
            </w:pP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b w:val="0"/>
                <w:bCs w:val="0"/>
                <w:color w:val="auto"/>
                <w:sz w:val="22"/>
                <w:szCs w:val="22"/>
                <w:lang w:val="en-US" w:eastAsia="zh-CN"/>
              </w:rPr>
              <w:t>课程改革成效</w:t>
            </w:r>
          </w:p>
        </w:tc>
        <w:tc>
          <w:tcPr>
            <w:tcW w:w="430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8" w:lineRule="auto"/>
              <w:jc w:val="both"/>
              <w:rPr>
                <w:rFonts w:hint="eastAsia" w:ascii="仿宋" w:hAnsi="仿宋" w:eastAsia="仿宋" w:cs="仿宋"/>
                <w:b/>
                <w:bCs/>
                <w:color w:val="000000"/>
                <w:kern w:val="0"/>
                <w:sz w:val="22"/>
                <w:szCs w:val="22"/>
              </w:rPr>
            </w:pPr>
            <w:r>
              <w:rPr>
                <w:rFonts w:hint="eastAsia" w:ascii="仿宋" w:hAnsi="仿宋" w:eastAsia="仿宋" w:cs="仿宋"/>
                <w:bCs/>
                <w:color w:val="auto"/>
                <w:sz w:val="22"/>
                <w:szCs w:val="22"/>
              </w:rPr>
              <w:t>深化教师、教材、教法改革。建设符合项目式、模块化教学需要的教学创新团队，不断优化教师能力结构。健全教材选用制度，选用体现新技术、新工艺、新规范等的高质量教材，引入典型生产案例。总结推广现代学徒制试点经验，普及项目教学、案例教学、情境教学、模块化教学等教学方式，广泛运用启发式、探究式、讨论式、参与式等教学方法，推广翻转课堂、混合式教学、理实一体教学等新型教学模式，推动课堂教学革命。加强课堂教学管理，规范教学秩序，打造优质课堂。</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r>
      <w:tr>
        <w:tblPrEx>
          <w:tblCellMar>
            <w:top w:w="0" w:type="dxa"/>
            <w:left w:w="108" w:type="dxa"/>
            <w:bottom w:w="0" w:type="dxa"/>
            <w:right w:w="108" w:type="dxa"/>
          </w:tblCellMar>
        </w:tblPrEx>
        <w:trPr>
          <w:trHeight w:val="576" w:hRule="atLeast"/>
          <w:jc w:val="center"/>
        </w:trPr>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b w:val="0"/>
                <w:bCs w:val="0"/>
                <w:color w:val="auto"/>
                <w:sz w:val="22"/>
                <w:szCs w:val="22"/>
                <w:lang w:val="en-US" w:eastAsia="zh-CN"/>
              </w:rPr>
              <w:t>课程应用成效</w:t>
            </w:r>
          </w:p>
        </w:tc>
        <w:tc>
          <w:tcPr>
            <w:tcW w:w="43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ind w:left="0" w:leftChars="0" w:firstLine="0" w:firstLineChars="0"/>
              <w:jc w:val="both"/>
              <w:rPr>
                <w:rFonts w:hint="eastAsia" w:ascii="仿宋" w:hAnsi="仿宋" w:eastAsia="仿宋" w:cs="仿宋"/>
                <w:b/>
                <w:bCs/>
                <w:color w:val="000000"/>
                <w:kern w:val="0"/>
                <w:sz w:val="22"/>
                <w:szCs w:val="22"/>
                <w:lang w:val="en-US" w:eastAsia="zh-CN" w:bidi="ar-SA"/>
              </w:rPr>
            </w:pPr>
            <w:r>
              <w:rPr>
                <w:rFonts w:hint="eastAsia" w:ascii="仿宋" w:hAnsi="仿宋" w:eastAsia="仿宋" w:cs="仿宋"/>
                <w:b w:val="0"/>
                <w:bCs w:val="0"/>
                <w:color w:val="auto"/>
                <w:kern w:val="0"/>
                <w:sz w:val="22"/>
                <w:szCs w:val="22"/>
                <w:lang w:val="en-US" w:eastAsia="zh-CN" w:bidi="ar-SA"/>
              </w:rPr>
              <w:t>是否有被</w:t>
            </w:r>
            <w:r>
              <w:rPr>
                <w:rFonts w:hint="eastAsia" w:ascii="仿宋" w:hAnsi="仿宋" w:eastAsia="仿宋" w:cs="宋体"/>
                <w:color w:val="000000"/>
                <w:kern w:val="0"/>
                <w:sz w:val="22"/>
                <w:szCs w:val="22"/>
                <w:lang w:val="en-US" w:eastAsia="zh-CN" w:bidi="ar-SA"/>
              </w:rPr>
              <w:t>国（境）内外学校、科研机构、企业等组织采用。</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r>
      <w:tr>
        <w:tblPrEx>
          <w:tblCellMar>
            <w:top w:w="0" w:type="dxa"/>
            <w:left w:w="108" w:type="dxa"/>
            <w:bottom w:w="0" w:type="dxa"/>
            <w:right w:w="108" w:type="dxa"/>
          </w:tblCellMar>
        </w:tblPrEx>
        <w:trPr>
          <w:trHeight w:val="576" w:hRule="atLeast"/>
          <w:jc w:val="cent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color w:val="000000"/>
                <w:sz w:val="22"/>
                <w:szCs w:val="22"/>
              </w:rPr>
              <w:t>课程建设特色</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r>
              <w:rPr>
                <w:rFonts w:hint="eastAsia" w:ascii="仿宋" w:hAnsi="仿宋" w:eastAsia="仿宋" w:cs="仿宋"/>
                <w:color w:val="000000"/>
                <w:sz w:val="22"/>
                <w:szCs w:val="22"/>
              </w:rPr>
              <w:t>课程建设特色</w:t>
            </w:r>
          </w:p>
        </w:tc>
        <w:tc>
          <w:tcPr>
            <w:tcW w:w="43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仿宋" w:hAnsi="仿宋" w:eastAsia="仿宋" w:cs="仿宋"/>
                <w:b/>
                <w:bCs/>
                <w:color w:val="000000"/>
                <w:kern w:val="0"/>
                <w:sz w:val="22"/>
                <w:szCs w:val="22"/>
              </w:rPr>
            </w:pPr>
            <w:r>
              <w:rPr>
                <w:rFonts w:hint="eastAsia" w:ascii="仿宋" w:hAnsi="仿宋" w:eastAsia="仿宋" w:cs="仿宋"/>
                <w:color w:val="auto"/>
                <w:sz w:val="22"/>
                <w:szCs w:val="22"/>
                <w:lang w:val="en-US" w:eastAsia="zh-CN"/>
              </w:rPr>
              <w:t>课程建设有亮点；课程特色有形成等。</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kern w:val="0"/>
                <w:sz w:val="22"/>
                <w:szCs w:val="22"/>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8" w:lineRule="auto"/>
              <w:jc w:val="both"/>
              <w:textAlignment w:val="center"/>
              <w:rPr>
                <w:rFonts w:hint="eastAsia" w:ascii="仿宋" w:hAnsi="仿宋" w:eastAsia="仿宋" w:cs="仿宋"/>
                <w:b/>
                <w:bCs/>
                <w:color w:val="000000"/>
                <w:sz w:val="22"/>
                <w:szCs w:val="22"/>
              </w:rPr>
            </w:pPr>
          </w:p>
        </w:tc>
      </w:tr>
    </w:tbl>
    <w:p>
      <w:pPr>
        <w:adjustRightInd w:val="0"/>
        <w:snapToGrid w:val="0"/>
        <w:spacing w:before="156" w:beforeLines="50" w:line="308" w:lineRule="auto"/>
        <w:ind w:firstLine="482" w:firstLineChars="200"/>
        <w:jc w:val="left"/>
        <w:rPr>
          <w:rFonts w:hint="eastAsia" w:ascii="楷体" w:hAnsi="楷体" w:eastAsia="楷体" w:cs="楷体"/>
          <w:b/>
          <w:kern w:val="0"/>
          <w:sz w:val="24"/>
        </w:rPr>
      </w:pPr>
      <w:r>
        <w:rPr>
          <w:rFonts w:hint="eastAsia" w:ascii="楷体" w:hAnsi="楷体" w:eastAsia="楷体" w:cs="楷体"/>
          <w:b/>
          <w:kern w:val="0"/>
          <w:sz w:val="24"/>
        </w:rPr>
        <w:t>（二）</w:t>
      </w:r>
      <w:r>
        <w:rPr>
          <w:rFonts w:hint="eastAsia" w:ascii="楷体" w:hAnsi="楷体" w:eastAsia="楷体" w:cs="楷体"/>
          <w:b/>
          <w:bCs/>
          <w:sz w:val="24"/>
        </w:rPr>
        <w:t>创新与改进</w:t>
      </w:r>
    </w:p>
    <w:p>
      <w:pPr>
        <w:adjustRightInd w:val="0"/>
        <w:snapToGrid w:val="0"/>
        <w:spacing w:before="156" w:beforeLines="50" w:line="308" w:lineRule="auto"/>
        <w:ind w:firstLine="480" w:firstLineChars="200"/>
        <w:jc w:val="left"/>
        <w:rPr>
          <w:rFonts w:ascii="仿宋" w:hAnsi="仿宋" w:eastAsia="仿宋" w:cs="仿宋"/>
          <w:bCs/>
          <w:kern w:val="0"/>
          <w:sz w:val="24"/>
        </w:rPr>
      </w:pPr>
      <w:r>
        <w:rPr>
          <w:rFonts w:hint="eastAsia" w:ascii="仿宋" w:hAnsi="仿宋" w:eastAsia="仿宋" w:cs="仿宋"/>
          <w:bCs/>
          <w:kern w:val="0"/>
          <w:sz w:val="24"/>
        </w:rPr>
        <w:t>对照监测预警反馈的问题，结合</w:t>
      </w:r>
      <w:r>
        <w:rPr>
          <w:rFonts w:hint="eastAsia" w:ascii="仿宋" w:hAnsi="仿宋" w:eastAsia="仿宋" w:cs="仿宋"/>
          <w:bCs/>
          <w:kern w:val="0"/>
          <w:sz w:val="24"/>
          <w:lang w:val="en-US" w:eastAsia="zh-CN"/>
        </w:rPr>
        <w:t>课程</w:t>
      </w:r>
      <w:r>
        <w:rPr>
          <w:rFonts w:hint="eastAsia" w:ascii="仿宋" w:hAnsi="仿宋" w:eastAsia="仿宋" w:cs="仿宋"/>
          <w:bCs/>
          <w:kern w:val="0"/>
          <w:sz w:val="24"/>
        </w:rPr>
        <w:t>建设实际，形成本学年自我诊改目标，对存在的问题进行实时改进。具体自我诊改目标、自我诊断意见、改进的措施及改进的成效如下。</w:t>
      </w:r>
    </w:p>
    <w:p>
      <w:pPr>
        <w:adjustRightInd w:val="0"/>
        <w:snapToGrid w:val="0"/>
        <w:spacing w:before="156" w:beforeLines="50" w:line="308" w:lineRule="auto"/>
        <w:ind w:firstLine="482" w:firstLineChars="200"/>
        <w:jc w:val="left"/>
        <w:rPr>
          <w:rFonts w:ascii="仿宋" w:hAnsi="仿宋" w:eastAsia="仿宋" w:cs="仿宋"/>
          <w:b/>
          <w:color w:val="0000FF"/>
          <w:kern w:val="0"/>
          <w:sz w:val="24"/>
        </w:rPr>
      </w:pPr>
      <w:r>
        <w:rPr>
          <w:rFonts w:hint="eastAsia" w:ascii="仿宋" w:hAnsi="仿宋" w:eastAsia="仿宋" w:cs="仿宋"/>
          <w:b/>
          <w:kern w:val="0"/>
          <w:sz w:val="24"/>
        </w:rPr>
        <w:t>本学年自我诊改目标1：</w:t>
      </w:r>
    </w:p>
    <w:p>
      <w:pPr>
        <w:adjustRightInd w:val="0"/>
        <w:snapToGrid w:val="0"/>
        <w:spacing w:before="156" w:beforeLines="50" w:line="308" w:lineRule="auto"/>
        <w:ind w:firstLine="480" w:firstLineChars="200"/>
        <w:jc w:val="left"/>
        <w:rPr>
          <w:rFonts w:ascii="仿宋" w:hAnsi="仿宋" w:eastAsia="仿宋" w:cs="仿宋"/>
          <w:bCs/>
          <w:color w:val="0000FF"/>
          <w:kern w:val="0"/>
          <w:sz w:val="24"/>
        </w:rPr>
      </w:pPr>
      <w:r>
        <w:rPr>
          <w:rFonts w:hint="eastAsia" w:ascii="仿宋" w:hAnsi="仿宋" w:eastAsia="仿宋" w:cs="仿宋"/>
          <w:bCs/>
          <w:kern w:val="0"/>
          <w:sz w:val="24"/>
        </w:rPr>
        <w:t>自我诊断意见：</w:t>
      </w:r>
      <w:r>
        <w:rPr>
          <w:rFonts w:hint="eastAsia" w:ascii="仿宋" w:hAnsi="仿宋" w:eastAsia="仿宋" w:cs="仿宋"/>
          <w:bCs/>
          <w:color w:val="0000FF"/>
          <w:kern w:val="0"/>
          <w:sz w:val="24"/>
        </w:rPr>
        <w:t>（需阐明目标达成程度，主要成绩，存在问题，原因分析。总体不超过500字。存在问题与原因分析应占一半左右篇幅。）</w:t>
      </w:r>
    </w:p>
    <w:p>
      <w:pPr>
        <w:adjustRightInd w:val="0"/>
        <w:snapToGrid w:val="0"/>
        <w:spacing w:before="156" w:beforeLines="50" w:line="308" w:lineRule="auto"/>
        <w:ind w:firstLine="480" w:firstLineChars="200"/>
        <w:jc w:val="left"/>
        <w:rPr>
          <w:rFonts w:ascii="仿宋" w:hAnsi="仿宋" w:eastAsia="仿宋" w:cs="仿宋"/>
          <w:bCs/>
          <w:color w:val="0000FF"/>
          <w:kern w:val="0"/>
          <w:sz w:val="24"/>
        </w:rPr>
      </w:pPr>
      <w:r>
        <w:rPr>
          <w:rFonts w:hint="eastAsia" w:ascii="仿宋" w:hAnsi="仿宋" w:eastAsia="仿宋" w:cs="仿宋"/>
          <w:bCs/>
          <w:kern w:val="0"/>
          <w:sz w:val="24"/>
        </w:rPr>
        <w:t>改进措施1：</w:t>
      </w:r>
      <w:r>
        <w:rPr>
          <w:rFonts w:hint="eastAsia" w:ascii="仿宋" w:hAnsi="仿宋" w:eastAsia="仿宋" w:cs="仿宋"/>
          <w:bCs/>
          <w:color w:val="0000FF"/>
          <w:kern w:val="0"/>
          <w:sz w:val="24"/>
        </w:rPr>
        <w:t>（需突出针对性、注重可行性。总体不超过200字。）</w:t>
      </w:r>
    </w:p>
    <w:p>
      <w:pPr>
        <w:adjustRightInd w:val="0"/>
        <w:snapToGrid w:val="0"/>
        <w:spacing w:before="156" w:beforeLines="50" w:line="308" w:lineRule="auto"/>
        <w:ind w:firstLine="480" w:firstLineChars="200"/>
        <w:jc w:val="left"/>
        <w:rPr>
          <w:rFonts w:ascii="仿宋" w:hAnsi="仿宋" w:eastAsia="仿宋" w:cs="仿宋"/>
          <w:bCs/>
          <w:color w:val="0000FF"/>
          <w:kern w:val="0"/>
          <w:sz w:val="24"/>
        </w:rPr>
      </w:pPr>
      <w:r>
        <w:rPr>
          <w:rFonts w:hint="eastAsia" w:ascii="仿宋" w:hAnsi="仿宋" w:eastAsia="仿宋" w:cs="仿宋"/>
          <w:bCs/>
          <w:kern w:val="0"/>
          <w:sz w:val="24"/>
        </w:rPr>
        <w:t>改进成效1：</w:t>
      </w:r>
      <w:r>
        <w:rPr>
          <w:rFonts w:hint="eastAsia" w:ascii="仿宋" w:hAnsi="仿宋" w:eastAsia="仿宋" w:cs="仿宋"/>
          <w:bCs/>
          <w:color w:val="0000FF"/>
          <w:kern w:val="0"/>
          <w:sz w:val="24"/>
        </w:rPr>
        <w:t>（“改进成效”指实施改进措施之后已经显现的实际效果或形成的特色，不是预测或估计成效。如果措施尚未实施，请加说明。总体不超过200字。）</w:t>
      </w:r>
    </w:p>
    <w:p>
      <w:pPr>
        <w:adjustRightInd w:val="0"/>
        <w:snapToGrid w:val="0"/>
        <w:spacing w:before="156" w:beforeLines="50" w:line="308" w:lineRule="auto"/>
        <w:ind w:firstLine="480" w:firstLineChars="200"/>
        <w:jc w:val="left"/>
        <w:rPr>
          <w:rFonts w:ascii="仿宋" w:hAnsi="仿宋" w:eastAsia="仿宋" w:cs="仿宋"/>
          <w:bCs/>
          <w:kern w:val="0"/>
          <w:sz w:val="24"/>
        </w:rPr>
      </w:pPr>
      <w:r>
        <w:rPr>
          <w:rFonts w:hint="eastAsia" w:ascii="仿宋" w:hAnsi="仿宋" w:eastAsia="仿宋" w:cs="仿宋"/>
          <w:bCs/>
          <w:kern w:val="0"/>
          <w:sz w:val="24"/>
        </w:rPr>
        <w:t>改进措施2：</w:t>
      </w:r>
    </w:p>
    <w:p>
      <w:pPr>
        <w:adjustRightInd w:val="0"/>
        <w:snapToGrid w:val="0"/>
        <w:spacing w:before="156" w:beforeLines="50" w:line="308" w:lineRule="auto"/>
        <w:ind w:left="479" w:leftChars="228"/>
        <w:jc w:val="left"/>
        <w:rPr>
          <w:rFonts w:ascii="仿宋" w:hAnsi="仿宋" w:eastAsia="仿宋" w:cs="仿宋"/>
          <w:bCs/>
          <w:kern w:val="0"/>
          <w:sz w:val="24"/>
        </w:rPr>
      </w:pPr>
      <w:r>
        <w:rPr>
          <w:rFonts w:hint="eastAsia" w:ascii="仿宋" w:hAnsi="仿宋" w:eastAsia="仿宋" w:cs="仿宋"/>
          <w:bCs/>
          <w:kern w:val="0"/>
          <w:sz w:val="24"/>
        </w:rPr>
        <w:t>改进成效2：</w:t>
      </w:r>
      <w:r>
        <w:rPr>
          <w:rFonts w:hint="eastAsia" w:ascii="仿宋" w:hAnsi="仿宋" w:eastAsia="仿宋" w:cs="仿宋"/>
          <w:bCs/>
          <w:kern w:val="0"/>
          <w:sz w:val="24"/>
        </w:rPr>
        <w:br w:type="textWrapping"/>
      </w:r>
      <w:r>
        <w:rPr>
          <w:rFonts w:hint="eastAsia" w:ascii="仿宋" w:hAnsi="仿宋" w:eastAsia="仿宋" w:cs="仿宋"/>
          <w:bCs/>
          <w:kern w:val="0"/>
          <w:sz w:val="24"/>
        </w:rPr>
        <w:t>……</w:t>
      </w:r>
    </w:p>
    <w:p>
      <w:pPr>
        <w:adjustRightInd w:val="0"/>
        <w:snapToGrid w:val="0"/>
        <w:spacing w:before="156" w:beforeLines="50" w:line="308" w:lineRule="auto"/>
        <w:ind w:firstLine="482" w:firstLineChars="200"/>
        <w:jc w:val="left"/>
        <w:rPr>
          <w:rFonts w:ascii="仿宋" w:hAnsi="仿宋" w:eastAsia="仿宋" w:cs="仿宋"/>
          <w:bCs/>
          <w:kern w:val="0"/>
          <w:sz w:val="24"/>
        </w:rPr>
      </w:pPr>
      <w:r>
        <w:rPr>
          <w:rFonts w:hint="eastAsia" w:ascii="仿宋" w:hAnsi="仿宋" w:eastAsia="仿宋" w:cs="仿宋"/>
          <w:b/>
          <w:kern w:val="0"/>
          <w:sz w:val="24"/>
        </w:rPr>
        <w:t>本学年自我诊改目标2：</w:t>
      </w:r>
    </w:p>
    <w:p>
      <w:pPr>
        <w:adjustRightInd w:val="0"/>
        <w:snapToGrid w:val="0"/>
        <w:spacing w:before="156" w:beforeLines="50" w:line="308" w:lineRule="auto"/>
        <w:ind w:firstLine="480" w:firstLineChars="200"/>
        <w:jc w:val="left"/>
        <w:rPr>
          <w:rFonts w:ascii="仿宋" w:hAnsi="仿宋" w:eastAsia="仿宋" w:cs="仿宋"/>
          <w:bCs/>
          <w:kern w:val="0"/>
          <w:sz w:val="24"/>
        </w:rPr>
      </w:pPr>
      <w:r>
        <w:rPr>
          <w:rFonts w:hint="eastAsia" w:ascii="仿宋" w:hAnsi="仿宋" w:eastAsia="仿宋" w:cs="仿宋"/>
          <w:bCs/>
          <w:kern w:val="0"/>
          <w:sz w:val="24"/>
        </w:rPr>
        <w:t>自我诊断意见：</w:t>
      </w:r>
    </w:p>
    <w:p>
      <w:pPr>
        <w:adjustRightInd w:val="0"/>
        <w:snapToGrid w:val="0"/>
        <w:spacing w:before="156" w:beforeLines="50" w:line="308" w:lineRule="auto"/>
        <w:ind w:firstLine="480" w:firstLineChars="200"/>
        <w:jc w:val="left"/>
        <w:rPr>
          <w:rFonts w:ascii="仿宋" w:hAnsi="仿宋" w:eastAsia="仿宋" w:cs="仿宋"/>
          <w:bCs/>
          <w:kern w:val="0"/>
          <w:sz w:val="24"/>
        </w:rPr>
      </w:pPr>
      <w:r>
        <w:rPr>
          <w:rFonts w:hint="eastAsia" w:ascii="仿宋" w:hAnsi="仿宋" w:eastAsia="仿宋" w:cs="仿宋"/>
          <w:bCs/>
          <w:kern w:val="0"/>
          <w:sz w:val="24"/>
        </w:rPr>
        <w:t>改进措施1：</w:t>
      </w:r>
    </w:p>
    <w:p>
      <w:pPr>
        <w:adjustRightInd w:val="0"/>
        <w:snapToGrid w:val="0"/>
        <w:spacing w:before="156" w:beforeLines="50" w:line="308" w:lineRule="auto"/>
        <w:ind w:firstLine="480" w:firstLineChars="200"/>
        <w:jc w:val="left"/>
        <w:rPr>
          <w:rFonts w:ascii="仿宋" w:hAnsi="仿宋" w:eastAsia="仿宋" w:cs="仿宋"/>
          <w:bCs/>
          <w:kern w:val="0"/>
          <w:sz w:val="24"/>
        </w:rPr>
      </w:pPr>
      <w:r>
        <w:rPr>
          <w:rFonts w:hint="eastAsia" w:ascii="仿宋" w:hAnsi="仿宋" w:eastAsia="仿宋" w:cs="仿宋"/>
          <w:bCs/>
          <w:kern w:val="0"/>
          <w:sz w:val="24"/>
        </w:rPr>
        <w:t>改进成效1：</w:t>
      </w:r>
    </w:p>
    <w:p>
      <w:pPr>
        <w:adjustRightInd w:val="0"/>
        <w:snapToGrid w:val="0"/>
        <w:spacing w:before="156" w:beforeLines="50" w:line="308" w:lineRule="auto"/>
        <w:ind w:firstLine="480" w:firstLineChars="200"/>
        <w:jc w:val="left"/>
        <w:rPr>
          <w:rFonts w:ascii="仿宋" w:hAnsi="仿宋" w:eastAsia="仿宋" w:cs="仿宋"/>
          <w:bCs/>
          <w:kern w:val="0"/>
          <w:sz w:val="24"/>
        </w:rPr>
      </w:pPr>
      <w:r>
        <w:rPr>
          <w:rFonts w:hint="eastAsia" w:ascii="仿宋" w:hAnsi="仿宋" w:eastAsia="仿宋" w:cs="仿宋"/>
          <w:bCs/>
          <w:kern w:val="0"/>
          <w:sz w:val="24"/>
        </w:rPr>
        <w:t>改进措施2：</w:t>
      </w:r>
    </w:p>
    <w:p>
      <w:pPr>
        <w:adjustRightInd w:val="0"/>
        <w:snapToGrid w:val="0"/>
        <w:spacing w:before="156" w:beforeLines="50" w:line="308" w:lineRule="auto"/>
        <w:ind w:left="479" w:leftChars="228"/>
        <w:jc w:val="left"/>
        <w:rPr>
          <w:rFonts w:ascii="仿宋" w:hAnsi="仿宋" w:eastAsia="仿宋" w:cs="仿宋"/>
          <w:bCs/>
          <w:kern w:val="0"/>
          <w:sz w:val="24"/>
        </w:rPr>
      </w:pPr>
      <w:r>
        <w:rPr>
          <w:rFonts w:hint="eastAsia" w:ascii="仿宋" w:hAnsi="仿宋" w:eastAsia="仿宋" w:cs="仿宋"/>
          <w:bCs/>
          <w:kern w:val="0"/>
          <w:sz w:val="24"/>
        </w:rPr>
        <w:t>改进成效2：</w:t>
      </w:r>
      <w:r>
        <w:rPr>
          <w:rFonts w:hint="eastAsia" w:ascii="仿宋" w:hAnsi="仿宋" w:eastAsia="仿宋" w:cs="仿宋"/>
          <w:bCs/>
          <w:kern w:val="0"/>
          <w:sz w:val="24"/>
        </w:rPr>
        <w:br w:type="textWrapping"/>
      </w:r>
      <w:r>
        <w:rPr>
          <w:rFonts w:hint="eastAsia" w:ascii="仿宋" w:hAnsi="仿宋" w:eastAsia="仿宋" w:cs="仿宋"/>
          <w:bCs/>
          <w:kern w:val="0"/>
          <w:sz w:val="24"/>
        </w:rPr>
        <w:t>……</w:t>
      </w:r>
    </w:p>
    <w:p>
      <w:pPr>
        <w:adjustRightInd w:val="0"/>
        <w:snapToGrid w:val="0"/>
        <w:spacing w:before="156" w:beforeLines="50" w:line="308" w:lineRule="auto"/>
        <w:ind w:firstLine="482" w:firstLineChars="200"/>
        <w:jc w:val="left"/>
        <w:rPr>
          <w:rFonts w:ascii="仿宋" w:hAnsi="仿宋" w:eastAsia="仿宋" w:cs="仿宋"/>
          <w:bCs/>
          <w:kern w:val="0"/>
          <w:sz w:val="24"/>
        </w:rPr>
      </w:pPr>
      <w:r>
        <w:rPr>
          <w:rFonts w:hint="eastAsia" w:ascii="仿宋" w:hAnsi="仿宋" w:eastAsia="仿宋" w:cs="仿宋"/>
          <w:b/>
          <w:kern w:val="0"/>
          <w:sz w:val="24"/>
        </w:rPr>
        <w:t>本学年自我诊改目标3：</w:t>
      </w:r>
    </w:p>
    <w:p>
      <w:pPr>
        <w:adjustRightInd w:val="0"/>
        <w:snapToGrid w:val="0"/>
        <w:spacing w:before="156" w:beforeLines="50" w:line="308" w:lineRule="auto"/>
        <w:ind w:firstLine="480" w:firstLineChars="200"/>
        <w:jc w:val="left"/>
        <w:rPr>
          <w:rFonts w:ascii="仿宋" w:hAnsi="仿宋" w:eastAsia="仿宋" w:cs="仿宋"/>
          <w:bCs/>
          <w:kern w:val="0"/>
          <w:sz w:val="24"/>
        </w:rPr>
      </w:pPr>
      <w:r>
        <w:rPr>
          <w:rFonts w:hint="eastAsia" w:ascii="仿宋" w:hAnsi="仿宋" w:eastAsia="仿宋" w:cs="仿宋"/>
          <w:bCs/>
          <w:kern w:val="0"/>
          <w:sz w:val="24"/>
        </w:rPr>
        <w:t>自我诊断意见：</w:t>
      </w:r>
    </w:p>
    <w:p>
      <w:pPr>
        <w:adjustRightInd w:val="0"/>
        <w:snapToGrid w:val="0"/>
        <w:spacing w:before="156" w:beforeLines="50" w:line="308" w:lineRule="auto"/>
        <w:ind w:firstLine="480" w:firstLineChars="200"/>
        <w:jc w:val="left"/>
        <w:rPr>
          <w:rFonts w:ascii="仿宋" w:hAnsi="仿宋" w:eastAsia="仿宋" w:cs="仿宋"/>
          <w:bCs/>
          <w:kern w:val="0"/>
          <w:sz w:val="24"/>
        </w:rPr>
      </w:pPr>
      <w:r>
        <w:rPr>
          <w:rFonts w:hint="eastAsia" w:ascii="仿宋" w:hAnsi="仿宋" w:eastAsia="仿宋" w:cs="仿宋"/>
          <w:bCs/>
          <w:kern w:val="0"/>
          <w:sz w:val="24"/>
        </w:rPr>
        <w:t>改进措施1：</w:t>
      </w:r>
    </w:p>
    <w:p>
      <w:pPr>
        <w:adjustRightInd w:val="0"/>
        <w:snapToGrid w:val="0"/>
        <w:spacing w:before="156" w:beforeLines="50" w:line="308" w:lineRule="auto"/>
        <w:ind w:firstLine="480" w:firstLineChars="200"/>
        <w:jc w:val="left"/>
        <w:rPr>
          <w:rFonts w:ascii="仿宋" w:hAnsi="仿宋" w:eastAsia="仿宋" w:cs="仿宋"/>
          <w:bCs/>
          <w:kern w:val="0"/>
          <w:sz w:val="24"/>
        </w:rPr>
      </w:pPr>
      <w:r>
        <w:rPr>
          <w:rFonts w:hint="eastAsia" w:ascii="仿宋" w:hAnsi="仿宋" w:eastAsia="仿宋" w:cs="仿宋"/>
          <w:bCs/>
          <w:kern w:val="0"/>
          <w:sz w:val="24"/>
        </w:rPr>
        <w:t>改进成效1：</w:t>
      </w:r>
    </w:p>
    <w:p>
      <w:pPr>
        <w:adjustRightInd w:val="0"/>
        <w:snapToGrid w:val="0"/>
        <w:spacing w:before="156" w:beforeLines="50" w:line="308" w:lineRule="auto"/>
        <w:ind w:firstLine="480" w:firstLineChars="200"/>
        <w:jc w:val="left"/>
        <w:rPr>
          <w:rFonts w:ascii="仿宋" w:hAnsi="仿宋" w:eastAsia="仿宋" w:cs="仿宋"/>
          <w:bCs/>
          <w:kern w:val="0"/>
          <w:sz w:val="24"/>
        </w:rPr>
      </w:pPr>
      <w:r>
        <w:rPr>
          <w:rFonts w:hint="eastAsia" w:ascii="仿宋" w:hAnsi="仿宋" w:eastAsia="仿宋" w:cs="仿宋"/>
          <w:bCs/>
          <w:kern w:val="0"/>
          <w:sz w:val="24"/>
        </w:rPr>
        <w:t>改进措施2：</w:t>
      </w:r>
    </w:p>
    <w:p>
      <w:pPr>
        <w:adjustRightInd w:val="0"/>
        <w:snapToGrid w:val="0"/>
        <w:spacing w:before="156" w:beforeLines="50" w:line="308" w:lineRule="auto"/>
        <w:ind w:firstLine="480" w:firstLineChars="200"/>
        <w:jc w:val="left"/>
        <w:rPr>
          <w:rFonts w:ascii="仿宋" w:hAnsi="仿宋" w:eastAsia="仿宋" w:cs="仿宋"/>
          <w:bCs/>
          <w:kern w:val="0"/>
          <w:sz w:val="24"/>
        </w:rPr>
      </w:pPr>
      <w:r>
        <w:rPr>
          <w:rFonts w:hint="eastAsia" w:ascii="仿宋" w:hAnsi="仿宋" w:eastAsia="仿宋" w:cs="仿宋"/>
          <w:bCs/>
          <w:kern w:val="0"/>
          <w:sz w:val="24"/>
        </w:rPr>
        <w:t>改进成效2：</w:t>
      </w:r>
    </w:p>
    <w:p>
      <w:pPr>
        <w:adjustRightInd w:val="0"/>
        <w:snapToGrid w:val="0"/>
        <w:spacing w:before="156" w:beforeLines="50" w:line="308" w:lineRule="auto"/>
        <w:ind w:firstLine="480" w:firstLineChars="200"/>
        <w:jc w:val="left"/>
        <w:rPr>
          <w:rFonts w:ascii="仿宋" w:hAnsi="仿宋" w:eastAsia="仿宋" w:cs="仿宋"/>
          <w:bCs/>
          <w:kern w:val="0"/>
          <w:sz w:val="24"/>
        </w:rPr>
      </w:pPr>
      <w:r>
        <w:rPr>
          <w:rFonts w:hint="eastAsia" w:ascii="仿宋" w:hAnsi="仿宋" w:eastAsia="仿宋" w:cs="仿宋"/>
          <w:bCs/>
          <w:kern w:val="0"/>
          <w:sz w:val="24"/>
        </w:rPr>
        <w:t>……</w:t>
      </w:r>
    </w:p>
    <w:p>
      <w:pPr>
        <w:adjustRightInd w:val="0"/>
        <w:snapToGrid w:val="0"/>
        <w:spacing w:before="156" w:beforeLines="50" w:line="308" w:lineRule="auto"/>
        <w:ind w:firstLine="482" w:firstLineChars="200"/>
        <w:jc w:val="left"/>
        <w:rPr>
          <w:rFonts w:hint="eastAsia" w:ascii="黑体" w:hAnsi="黑体" w:eastAsia="黑体" w:cs="黑体"/>
          <w:b/>
          <w:color w:val="0000FF"/>
          <w:kern w:val="0"/>
          <w:sz w:val="24"/>
        </w:rPr>
      </w:pPr>
      <w:r>
        <w:rPr>
          <w:rFonts w:hint="eastAsia" w:ascii="黑体" w:hAnsi="黑体" w:eastAsia="黑体" w:cs="黑体"/>
          <w:b/>
          <w:kern w:val="0"/>
          <w:sz w:val="24"/>
        </w:rPr>
        <w:t>五、下一步努力的方向</w:t>
      </w:r>
      <w:r>
        <w:rPr>
          <w:rFonts w:hint="eastAsia" w:ascii="黑体" w:hAnsi="黑体" w:eastAsia="黑体" w:cs="黑体"/>
          <w:b/>
          <w:color w:val="0000FF"/>
          <w:kern w:val="0"/>
          <w:sz w:val="24"/>
        </w:rPr>
        <w:t>（新目标）</w:t>
      </w:r>
    </w:p>
    <w:p>
      <w:pPr>
        <w:pStyle w:val="2"/>
        <w:ind w:left="0" w:leftChars="0" w:firstLine="0" w:firstLineChars="0"/>
        <w:jc w:val="left"/>
        <w:rPr>
          <w:rFonts w:hint="eastAsia"/>
          <w:lang w:eastAsia="zh-CN"/>
        </w:rPr>
        <w:sectPr>
          <w:pgSz w:w="11906" w:h="16838"/>
          <w:pgMar w:top="1440" w:right="1417" w:bottom="1440" w:left="1417" w:header="851" w:footer="992" w:gutter="0"/>
          <w:pgNumType w:fmt="decimal"/>
          <w:cols w:space="425" w:num="1"/>
          <w:docGrid w:type="lines" w:linePitch="312" w:charSpace="0"/>
        </w:sectPr>
      </w:pPr>
    </w:p>
    <w:p>
      <w:pPr>
        <w:adjustRightInd w:val="0"/>
        <w:snapToGrid w:val="0"/>
        <w:spacing w:line="520" w:lineRule="exact"/>
        <w:jc w:val="center"/>
        <w:rPr>
          <w:rFonts w:hint="eastAsia" w:ascii="黑体" w:hAnsi="黑体" w:eastAsia="黑体"/>
          <w:sz w:val="36"/>
          <w:szCs w:val="36"/>
        </w:rPr>
      </w:pPr>
    </w:p>
    <w:p>
      <w:pPr>
        <w:adjustRightInd w:val="0"/>
        <w:snapToGrid w:val="0"/>
        <w:spacing w:line="520" w:lineRule="exact"/>
        <w:jc w:val="center"/>
        <w:rPr>
          <w:rFonts w:hint="eastAsia" w:ascii="宋体" w:hAnsi="宋体" w:eastAsia="宋体" w:cs="宋体"/>
          <w:b/>
          <w:bCs/>
          <w:sz w:val="36"/>
          <w:szCs w:val="36"/>
        </w:rPr>
      </w:pPr>
      <w:r>
        <w:rPr>
          <w:rFonts w:hint="eastAsia" w:ascii="宋体" w:hAnsi="宋体" w:eastAsia="宋体" w:cs="宋体"/>
          <w:b/>
          <w:bCs/>
          <w:sz w:val="36"/>
          <w:szCs w:val="36"/>
          <w:u w:val="none"/>
          <w:lang w:val="en-US" w:eastAsia="zh-CN"/>
        </w:rPr>
        <w:t>产业学院教师层面</w:t>
      </w:r>
      <w:r>
        <w:rPr>
          <w:rFonts w:hint="eastAsia" w:ascii="宋体" w:hAnsi="宋体" w:eastAsia="宋体" w:cs="宋体"/>
          <w:b/>
          <w:bCs/>
          <w:sz w:val="36"/>
          <w:szCs w:val="36"/>
          <w:lang w:eastAsia="zh-CN"/>
        </w:rPr>
        <w:t>学年</w:t>
      </w:r>
      <w:r>
        <w:rPr>
          <w:rFonts w:hint="eastAsia" w:ascii="宋体" w:hAnsi="宋体" w:eastAsia="宋体" w:cs="宋体"/>
          <w:b/>
          <w:bCs/>
          <w:sz w:val="36"/>
          <w:szCs w:val="36"/>
        </w:rPr>
        <w:t>自我诊改报告</w:t>
      </w:r>
    </w:p>
    <w:p>
      <w:pPr>
        <w:adjustRightInd w:val="0"/>
        <w:snapToGrid w:val="0"/>
        <w:spacing w:line="520" w:lineRule="exact"/>
        <w:jc w:val="center"/>
        <w:rPr>
          <w:rFonts w:hint="eastAsia" w:ascii="宋体" w:hAnsi="宋体" w:eastAsia="宋体" w:cs="宋体"/>
          <w:b/>
          <w:bCs/>
          <w:sz w:val="36"/>
          <w:szCs w:val="36"/>
        </w:rPr>
      </w:pPr>
      <w:r>
        <w:rPr>
          <w:rFonts w:hint="eastAsia" w:ascii="宋体" w:hAnsi="宋体" w:eastAsia="宋体" w:cs="宋体"/>
          <w:b/>
          <w:bCs/>
          <w:sz w:val="36"/>
          <w:szCs w:val="36"/>
        </w:rPr>
        <w:t>（参考格式）</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2" w:firstLineChars="200"/>
        <w:jc w:val="left"/>
        <w:textAlignment w:val="auto"/>
        <w:rPr>
          <w:rFonts w:hint="eastAsia" w:ascii="宋体" w:hAnsi="宋体" w:eastAsia="宋体" w:cs="宋体"/>
          <w:b/>
          <w:bCs w:val="0"/>
          <w:kern w:val="0"/>
          <w:sz w:val="28"/>
          <w:szCs w:val="28"/>
        </w:rPr>
      </w:pP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2" w:firstLineChars="200"/>
        <w:jc w:val="left"/>
        <w:textAlignment w:val="auto"/>
        <w:rPr>
          <w:rFonts w:hint="eastAsia" w:ascii="宋体" w:hAnsi="宋体" w:eastAsia="宋体" w:cs="宋体"/>
          <w:b w:val="0"/>
          <w:bCs/>
          <w:color w:val="0000FF"/>
          <w:kern w:val="0"/>
          <w:sz w:val="28"/>
          <w:szCs w:val="28"/>
          <w:lang w:eastAsia="zh-CN"/>
        </w:rPr>
      </w:pPr>
      <w:r>
        <w:rPr>
          <w:rFonts w:hint="eastAsia" w:ascii="黑体" w:hAnsi="黑体" w:eastAsia="黑体" w:cs="黑体"/>
          <w:b/>
          <w:bCs w:val="0"/>
          <w:kern w:val="0"/>
          <w:sz w:val="28"/>
          <w:szCs w:val="28"/>
        </w:rPr>
        <w:t>一、自我诊改工作概述</w:t>
      </w:r>
      <w:r>
        <w:rPr>
          <w:rFonts w:hint="eastAsia" w:ascii="宋体" w:hAnsi="宋体" w:eastAsia="宋体" w:cs="宋体"/>
          <w:b/>
          <w:bCs w:val="0"/>
          <w:color w:val="0000FF"/>
          <w:kern w:val="0"/>
          <w:sz w:val="28"/>
          <w:szCs w:val="28"/>
          <w:lang w:eastAsia="zh-CN"/>
        </w:rPr>
        <w:t>（报告内容必须真实、准确，务必写实，无需等级性结论。）</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2" w:firstLineChars="200"/>
        <w:jc w:val="left"/>
        <w:textAlignment w:val="auto"/>
        <w:rPr>
          <w:rFonts w:hint="eastAsia" w:ascii="黑体" w:hAnsi="黑体" w:eastAsia="黑体" w:cs="黑体"/>
          <w:b/>
          <w:bCs w:val="0"/>
          <w:kern w:val="0"/>
          <w:sz w:val="28"/>
          <w:szCs w:val="28"/>
        </w:rPr>
      </w:pPr>
      <w:r>
        <w:rPr>
          <w:rFonts w:hint="eastAsia" w:ascii="黑体" w:hAnsi="黑体" w:eastAsia="黑体" w:cs="黑体"/>
          <w:b/>
          <w:bCs w:val="0"/>
          <w:kern w:val="0"/>
          <w:sz w:val="28"/>
          <w:szCs w:val="28"/>
        </w:rPr>
        <w:t>二、自我诊改措施及成效</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2" w:firstLineChars="200"/>
        <w:jc w:val="left"/>
        <w:textAlignment w:val="auto"/>
        <w:rPr>
          <w:rFonts w:hint="eastAsia" w:ascii="仿宋" w:hAnsi="仿宋" w:eastAsia="仿宋" w:cs="仿宋"/>
          <w:b/>
          <w:bCs w:val="0"/>
          <w:color w:val="0000FF"/>
          <w:kern w:val="0"/>
          <w:sz w:val="28"/>
          <w:szCs w:val="28"/>
        </w:rPr>
      </w:pPr>
      <w:r>
        <w:rPr>
          <w:rFonts w:hint="eastAsia" w:ascii="仿宋" w:hAnsi="仿宋" w:eastAsia="仿宋" w:cs="仿宋"/>
          <w:b/>
          <w:bCs w:val="0"/>
          <w:kern w:val="0"/>
          <w:sz w:val="28"/>
          <w:szCs w:val="28"/>
          <w:lang w:val="en-US" w:eastAsia="zh-CN"/>
        </w:rPr>
        <w:t>本学年</w:t>
      </w:r>
      <w:r>
        <w:rPr>
          <w:rFonts w:hint="eastAsia" w:ascii="仿宋" w:hAnsi="仿宋" w:eastAsia="仿宋" w:cs="仿宋"/>
          <w:b/>
          <w:bCs w:val="0"/>
          <w:kern w:val="0"/>
          <w:sz w:val="28"/>
          <w:szCs w:val="28"/>
        </w:rPr>
        <w:t>诊改</w:t>
      </w:r>
      <w:r>
        <w:rPr>
          <w:rFonts w:hint="eastAsia" w:ascii="仿宋" w:hAnsi="仿宋" w:eastAsia="仿宋" w:cs="仿宋"/>
          <w:b/>
          <w:bCs w:val="0"/>
          <w:kern w:val="0"/>
          <w:sz w:val="28"/>
          <w:szCs w:val="28"/>
          <w:lang w:val="en-US" w:eastAsia="zh-CN"/>
        </w:rPr>
        <w:t>目标</w:t>
      </w:r>
      <w:r>
        <w:rPr>
          <w:rFonts w:hint="eastAsia" w:ascii="仿宋" w:hAnsi="仿宋" w:eastAsia="仿宋" w:cs="仿宋"/>
          <w:b/>
          <w:bCs w:val="0"/>
          <w:kern w:val="0"/>
          <w:sz w:val="28"/>
          <w:szCs w:val="28"/>
        </w:rPr>
        <w:t>1：</w:t>
      </w:r>
      <w:r>
        <w:rPr>
          <w:rFonts w:hint="eastAsia" w:ascii="仿宋" w:hAnsi="仿宋" w:eastAsia="仿宋" w:cs="仿宋"/>
          <w:b/>
          <w:bCs w:val="0"/>
          <w:color w:val="0000FF"/>
          <w:kern w:val="0"/>
          <w:sz w:val="28"/>
          <w:szCs w:val="28"/>
          <w:lang w:eastAsia="zh-CN"/>
        </w:rPr>
        <w:t>（第</w:t>
      </w:r>
      <w:r>
        <w:rPr>
          <w:rFonts w:hint="eastAsia" w:ascii="仿宋" w:hAnsi="仿宋" w:eastAsia="仿宋" w:cs="仿宋"/>
          <w:b/>
          <w:bCs w:val="0"/>
          <w:color w:val="0000FF"/>
          <w:kern w:val="0"/>
          <w:sz w:val="28"/>
          <w:szCs w:val="28"/>
          <w:lang w:val="en-US" w:eastAsia="zh-CN"/>
        </w:rPr>
        <w:t>二</w:t>
      </w:r>
      <w:r>
        <w:rPr>
          <w:rFonts w:hint="eastAsia" w:ascii="仿宋" w:hAnsi="仿宋" w:eastAsia="仿宋" w:cs="仿宋"/>
          <w:b/>
          <w:bCs w:val="0"/>
          <w:color w:val="0000FF"/>
          <w:kern w:val="0"/>
          <w:sz w:val="28"/>
          <w:szCs w:val="28"/>
          <w:lang w:eastAsia="zh-CN"/>
        </w:rPr>
        <w:t>级标题用</w:t>
      </w:r>
      <w:r>
        <w:rPr>
          <w:rFonts w:hint="eastAsia" w:ascii="仿宋" w:hAnsi="仿宋" w:eastAsia="仿宋" w:cs="仿宋"/>
          <w:b/>
          <w:bCs w:val="0"/>
          <w:color w:val="0000FF"/>
          <w:kern w:val="0"/>
          <w:sz w:val="28"/>
          <w:szCs w:val="28"/>
          <w:lang w:val="en-US" w:eastAsia="zh-CN"/>
        </w:rPr>
        <w:t>四、仿宋加粗</w:t>
      </w:r>
      <w:r>
        <w:rPr>
          <w:rFonts w:hint="eastAsia" w:ascii="仿宋" w:hAnsi="仿宋" w:eastAsia="仿宋" w:cs="仿宋"/>
          <w:b/>
          <w:bCs w:val="0"/>
          <w:color w:val="0000FF"/>
          <w:kern w:val="0"/>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color w:val="0000FF"/>
          <w:kern w:val="0"/>
          <w:sz w:val="28"/>
          <w:szCs w:val="28"/>
          <w:lang w:eastAsia="zh-CN"/>
        </w:rPr>
      </w:pPr>
      <w:r>
        <w:rPr>
          <w:rFonts w:hint="eastAsia" w:ascii="宋体" w:hAnsi="宋体" w:eastAsia="宋体" w:cs="宋体"/>
          <w:bCs/>
          <w:kern w:val="0"/>
          <w:sz w:val="28"/>
          <w:szCs w:val="28"/>
        </w:rPr>
        <w:t>自我诊断意见</w:t>
      </w:r>
      <w:r>
        <w:rPr>
          <w:rFonts w:hint="eastAsia" w:ascii="宋体" w:hAnsi="宋体" w:eastAsia="宋体" w:cs="宋体"/>
          <w:bCs/>
          <w:kern w:val="0"/>
          <w:sz w:val="28"/>
          <w:szCs w:val="28"/>
          <w:lang w:eastAsia="zh-CN"/>
        </w:rPr>
        <w:t>：</w:t>
      </w:r>
      <w:r>
        <w:rPr>
          <w:rFonts w:hint="eastAsia" w:ascii="宋体" w:hAnsi="宋体" w:eastAsia="宋体" w:cs="宋体"/>
          <w:bCs/>
          <w:color w:val="0000FF"/>
          <w:kern w:val="0"/>
          <w:sz w:val="28"/>
          <w:szCs w:val="28"/>
          <w:lang w:eastAsia="zh-CN"/>
        </w:rPr>
        <w:t>（需阐明目标达成程度，主要成绩，存在问题，原因分析。总体不超过500字。存在问题与原因分析应占一半左右篇幅。）</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color w:val="0000FF"/>
          <w:kern w:val="0"/>
          <w:sz w:val="28"/>
          <w:szCs w:val="28"/>
          <w:lang w:eastAsia="zh-CN"/>
        </w:rPr>
      </w:pPr>
      <w:r>
        <w:rPr>
          <w:rFonts w:hint="eastAsia" w:ascii="宋体" w:hAnsi="宋体" w:eastAsia="宋体" w:cs="宋体"/>
          <w:bCs/>
          <w:kern w:val="0"/>
          <w:sz w:val="28"/>
          <w:szCs w:val="28"/>
        </w:rPr>
        <w:t>改进措施1：</w:t>
      </w:r>
      <w:r>
        <w:rPr>
          <w:rFonts w:hint="eastAsia" w:ascii="宋体" w:hAnsi="宋体" w:eastAsia="宋体" w:cs="宋体"/>
          <w:bCs/>
          <w:color w:val="0000FF"/>
          <w:kern w:val="0"/>
          <w:sz w:val="28"/>
          <w:szCs w:val="28"/>
          <w:lang w:eastAsia="zh-CN"/>
        </w:rPr>
        <w:t>（需突出针对性、注重可行性。总体不超过200字。）</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color w:val="0000FF"/>
          <w:kern w:val="0"/>
          <w:sz w:val="28"/>
          <w:szCs w:val="28"/>
          <w:lang w:val="en-US" w:eastAsia="zh-CN"/>
        </w:rPr>
      </w:pPr>
      <w:r>
        <w:rPr>
          <w:rFonts w:hint="eastAsia" w:ascii="宋体" w:hAnsi="宋体" w:eastAsia="宋体" w:cs="宋体"/>
          <w:bCs/>
          <w:kern w:val="0"/>
          <w:sz w:val="28"/>
          <w:szCs w:val="28"/>
        </w:rPr>
        <w:t>改进</w:t>
      </w:r>
      <w:r>
        <w:rPr>
          <w:rFonts w:hint="eastAsia" w:ascii="宋体" w:hAnsi="宋体" w:eastAsia="宋体" w:cs="宋体"/>
          <w:bCs/>
          <w:kern w:val="0"/>
          <w:sz w:val="28"/>
          <w:szCs w:val="28"/>
          <w:lang w:val="en-US" w:eastAsia="zh-CN"/>
        </w:rPr>
        <w:t>成效1：</w:t>
      </w:r>
      <w:r>
        <w:rPr>
          <w:rFonts w:hint="eastAsia" w:ascii="宋体" w:hAnsi="宋体" w:eastAsia="宋体" w:cs="宋体"/>
          <w:bCs/>
          <w:color w:val="0000FF"/>
          <w:kern w:val="0"/>
          <w:sz w:val="28"/>
          <w:szCs w:val="28"/>
          <w:lang w:val="en-US" w:eastAsia="zh-CN"/>
        </w:rPr>
        <w:t>（“改进成效”指实施改进措施之后已经显现的实际效果或形成的特色，不是预测或估计成效。如果措施尚未实施，请加说明。总体不超过200字。）</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kern w:val="0"/>
          <w:sz w:val="28"/>
          <w:szCs w:val="28"/>
        </w:rPr>
      </w:pPr>
      <w:r>
        <w:rPr>
          <w:rFonts w:hint="eastAsia" w:ascii="宋体" w:hAnsi="宋体" w:eastAsia="宋体" w:cs="宋体"/>
          <w:bCs/>
          <w:kern w:val="0"/>
          <w:sz w:val="28"/>
          <w:szCs w:val="28"/>
        </w:rPr>
        <w:t>改进措施</w:t>
      </w:r>
      <w:r>
        <w:rPr>
          <w:rFonts w:hint="eastAsia" w:ascii="宋体" w:hAnsi="宋体" w:eastAsia="宋体" w:cs="宋体"/>
          <w:bCs/>
          <w:kern w:val="0"/>
          <w:sz w:val="28"/>
          <w:szCs w:val="28"/>
          <w:lang w:val="en-US" w:eastAsia="zh-CN"/>
        </w:rPr>
        <w:t>2</w:t>
      </w:r>
      <w:r>
        <w:rPr>
          <w:rFonts w:hint="eastAsia" w:ascii="宋体" w:hAnsi="宋体" w:eastAsia="宋体" w:cs="宋体"/>
          <w:bCs/>
          <w:kern w:val="0"/>
          <w:sz w:val="28"/>
          <w:szCs w:val="28"/>
        </w:rPr>
        <w:t>：</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left="559" w:leftChars="266" w:firstLine="0" w:firstLineChars="0"/>
        <w:jc w:val="left"/>
        <w:textAlignment w:val="auto"/>
        <w:rPr>
          <w:rFonts w:hint="eastAsia" w:ascii="宋体" w:hAnsi="宋体" w:eastAsia="宋体" w:cs="宋体"/>
          <w:bCs/>
          <w:kern w:val="0"/>
          <w:sz w:val="28"/>
          <w:szCs w:val="28"/>
        </w:rPr>
      </w:pPr>
      <w:r>
        <w:rPr>
          <w:rFonts w:hint="eastAsia" w:ascii="宋体" w:hAnsi="宋体" w:eastAsia="宋体" w:cs="宋体"/>
          <w:bCs/>
          <w:kern w:val="0"/>
          <w:sz w:val="28"/>
          <w:szCs w:val="28"/>
        </w:rPr>
        <w:t>改进</w:t>
      </w:r>
      <w:r>
        <w:rPr>
          <w:rFonts w:hint="eastAsia" w:ascii="宋体" w:hAnsi="宋体" w:eastAsia="宋体" w:cs="宋体"/>
          <w:bCs/>
          <w:kern w:val="0"/>
          <w:sz w:val="28"/>
          <w:szCs w:val="28"/>
          <w:lang w:val="en-US" w:eastAsia="zh-CN"/>
        </w:rPr>
        <w:t>成效2：</w:t>
      </w:r>
      <w:r>
        <w:rPr>
          <w:rFonts w:hint="eastAsia" w:ascii="宋体" w:hAnsi="宋体" w:eastAsia="宋体" w:cs="宋体"/>
          <w:bCs/>
          <w:kern w:val="0"/>
          <w:sz w:val="28"/>
          <w:szCs w:val="28"/>
          <w:lang w:val="en-US" w:eastAsia="zh-CN"/>
        </w:rPr>
        <w:br w:type="textWrapping"/>
      </w:r>
      <w:r>
        <w:rPr>
          <w:rFonts w:hint="eastAsia" w:ascii="宋体" w:hAnsi="宋体" w:eastAsia="宋体" w:cs="宋体"/>
          <w:bCs/>
          <w:kern w:val="0"/>
          <w:sz w:val="28"/>
          <w:szCs w:val="28"/>
          <w:lang w:val="en-US" w:eastAsia="zh-CN"/>
        </w:rPr>
        <w:t>……</w:t>
      </w:r>
      <w:r>
        <w:rPr>
          <w:rFonts w:hint="eastAsia" w:ascii="宋体" w:hAnsi="宋体" w:eastAsia="宋体" w:cs="宋体"/>
          <w:bCs/>
          <w:color w:val="0000FF"/>
          <w:kern w:val="0"/>
          <w:sz w:val="28"/>
          <w:szCs w:val="28"/>
          <w:lang w:val="en-US" w:eastAsia="zh-CN"/>
        </w:rPr>
        <w:t>（</w:t>
      </w:r>
      <w:r>
        <w:rPr>
          <w:rFonts w:hint="eastAsia" w:ascii="宋体" w:hAnsi="宋体" w:eastAsia="宋体" w:cs="宋体"/>
          <w:b w:val="0"/>
          <w:bCs/>
          <w:color w:val="0000FF"/>
          <w:kern w:val="0"/>
          <w:sz w:val="28"/>
          <w:szCs w:val="28"/>
          <w:lang w:val="en-US" w:eastAsia="zh-CN"/>
        </w:rPr>
        <w:t>正文四，宋体</w:t>
      </w:r>
      <w:r>
        <w:rPr>
          <w:rFonts w:hint="eastAsia" w:ascii="宋体" w:hAnsi="宋体" w:eastAsia="宋体" w:cs="宋体"/>
          <w:bCs/>
          <w:color w:val="0000FF"/>
          <w:kern w:val="0"/>
          <w:sz w:val="28"/>
          <w:szCs w:val="28"/>
          <w:lang w:val="en-US" w:eastAsia="zh-CN"/>
        </w:rPr>
        <w:t>）</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2" w:firstLineChars="200"/>
        <w:jc w:val="left"/>
        <w:textAlignment w:val="auto"/>
        <w:rPr>
          <w:rFonts w:hint="eastAsia" w:ascii="仿宋" w:hAnsi="仿宋" w:eastAsia="仿宋" w:cs="仿宋"/>
          <w:b w:val="0"/>
          <w:bCs/>
          <w:kern w:val="0"/>
          <w:sz w:val="28"/>
          <w:szCs w:val="28"/>
        </w:rPr>
      </w:pPr>
      <w:r>
        <w:rPr>
          <w:rFonts w:hint="eastAsia" w:ascii="仿宋" w:hAnsi="仿宋" w:eastAsia="仿宋" w:cs="仿宋"/>
          <w:b/>
          <w:bCs w:val="0"/>
          <w:kern w:val="0"/>
          <w:sz w:val="28"/>
          <w:szCs w:val="28"/>
          <w:lang w:val="en-US" w:eastAsia="zh-CN"/>
        </w:rPr>
        <w:t>本学年</w:t>
      </w:r>
      <w:r>
        <w:rPr>
          <w:rFonts w:hint="eastAsia" w:ascii="仿宋" w:hAnsi="仿宋" w:eastAsia="仿宋" w:cs="仿宋"/>
          <w:b/>
          <w:bCs w:val="0"/>
          <w:kern w:val="0"/>
          <w:sz w:val="28"/>
          <w:szCs w:val="28"/>
        </w:rPr>
        <w:t>诊改</w:t>
      </w:r>
      <w:r>
        <w:rPr>
          <w:rFonts w:hint="eastAsia" w:ascii="仿宋" w:hAnsi="仿宋" w:eastAsia="仿宋" w:cs="仿宋"/>
          <w:b/>
          <w:bCs w:val="0"/>
          <w:kern w:val="0"/>
          <w:sz w:val="28"/>
          <w:szCs w:val="28"/>
          <w:lang w:val="en-US" w:eastAsia="zh-CN"/>
        </w:rPr>
        <w:t>目标2</w:t>
      </w:r>
      <w:r>
        <w:rPr>
          <w:rFonts w:hint="eastAsia" w:ascii="仿宋" w:hAnsi="仿宋" w:eastAsia="仿宋" w:cs="仿宋"/>
          <w:b/>
          <w:bCs w:val="0"/>
          <w:kern w:val="0"/>
          <w:sz w:val="28"/>
          <w:szCs w:val="28"/>
        </w:rPr>
        <w:t>：</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kern w:val="0"/>
          <w:sz w:val="28"/>
          <w:szCs w:val="28"/>
          <w:lang w:eastAsia="zh-CN"/>
        </w:rPr>
      </w:pPr>
      <w:r>
        <w:rPr>
          <w:rFonts w:hint="eastAsia" w:ascii="宋体" w:hAnsi="宋体" w:eastAsia="宋体" w:cs="宋体"/>
          <w:bCs/>
          <w:kern w:val="0"/>
          <w:sz w:val="28"/>
          <w:szCs w:val="28"/>
        </w:rPr>
        <w:t>自我诊断意见</w:t>
      </w:r>
      <w:r>
        <w:rPr>
          <w:rFonts w:hint="eastAsia" w:ascii="宋体" w:hAnsi="宋体" w:eastAsia="宋体" w:cs="宋体"/>
          <w:bCs/>
          <w:kern w:val="0"/>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kern w:val="0"/>
          <w:sz w:val="28"/>
          <w:szCs w:val="28"/>
        </w:rPr>
      </w:pPr>
      <w:r>
        <w:rPr>
          <w:rFonts w:hint="eastAsia" w:ascii="宋体" w:hAnsi="宋体" w:eastAsia="宋体" w:cs="宋体"/>
          <w:bCs/>
          <w:kern w:val="0"/>
          <w:sz w:val="28"/>
          <w:szCs w:val="28"/>
        </w:rPr>
        <w:t>改进措施1：</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kern w:val="0"/>
          <w:sz w:val="28"/>
          <w:szCs w:val="28"/>
          <w:lang w:val="en-US" w:eastAsia="zh-CN"/>
        </w:rPr>
      </w:pPr>
      <w:r>
        <w:rPr>
          <w:rFonts w:hint="eastAsia" w:ascii="宋体" w:hAnsi="宋体" w:eastAsia="宋体" w:cs="宋体"/>
          <w:bCs/>
          <w:kern w:val="0"/>
          <w:sz w:val="28"/>
          <w:szCs w:val="28"/>
        </w:rPr>
        <w:t>改进</w:t>
      </w:r>
      <w:r>
        <w:rPr>
          <w:rFonts w:hint="eastAsia" w:ascii="宋体" w:hAnsi="宋体" w:eastAsia="宋体" w:cs="宋体"/>
          <w:bCs/>
          <w:kern w:val="0"/>
          <w:sz w:val="28"/>
          <w:szCs w:val="28"/>
          <w:lang w:val="en-US" w:eastAsia="zh-CN"/>
        </w:rPr>
        <w:t>成效1：</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kern w:val="0"/>
          <w:sz w:val="28"/>
          <w:szCs w:val="28"/>
        </w:rPr>
      </w:pPr>
      <w:r>
        <w:rPr>
          <w:rFonts w:hint="eastAsia" w:ascii="宋体" w:hAnsi="宋体" w:eastAsia="宋体" w:cs="宋体"/>
          <w:bCs/>
          <w:kern w:val="0"/>
          <w:sz w:val="28"/>
          <w:szCs w:val="28"/>
        </w:rPr>
        <w:t>改进措施</w:t>
      </w:r>
      <w:r>
        <w:rPr>
          <w:rFonts w:hint="eastAsia" w:ascii="宋体" w:hAnsi="宋体" w:eastAsia="宋体" w:cs="宋体"/>
          <w:bCs/>
          <w:kern w:val="0"/>
          <w:sz w:val="28"/>
          <w:szCs w:val="28"/>
          <w:lang w:val="en-US" w:eastAsia="zh-CN"/>
        </w:rPr>
        <w:t>2</w:t>
      </w:r>
      <w:r>
        <w:rPr>
          <w:rFonts w:hint="eastAsia" w:ascii="宋体" w:hAnsi="宋体" w:eastAsia="宋体" w:cs="宋体"/>
          <w:bCs/>
          <w:kern w:val="0"/>
          <w:sz w:val="28"/>
          <w:szCs w:val="28"/>
        </w:rPr>
        <w:t>：</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left="559" w:leftChars="266" w:firstLine="0" w:firstLineChars="0"/>
        <w:jc w:val="left"/>
        <w:textAlignment w:val="auto"/>
        <w:rPr>
          <w:rFonts w:hint="eastAsia" w:ascii="宋体" w:hAnsi="宋体" w:eastAsia="宋体" w:cs="宋体"/>
          <w:bCs/>
          <w:kern w:val="0"/>
          <w:sz w:val="28"/>
          <w:szCs w:val="28"/>
        </w:rPr>
      </w:pPr>
      <w:r>
        <w:rPr>
          <w:rFonts w:hint="eastAsia" w:ascii="宋体" w:hAnsi="宋体" w:eastAsia="宋体" w:cs="宋体"/>
          <w:bCs/>
          <w:kern w:val="0"/>
          <w:sz w:val="28"/>
          <w:szCs w:val="28"/>
        </w:rPr>
        <w:t>改进</w:t>
      </w:r>
      <w:r>
        <w:rPr>
          <w:rFonts w:hint="eastAsia" w:ascii="宋体" w:hAnsi="宋体" w:eastAsia="宋体" w:cs="宋体"/>
          <w:bCs/>
          <w:kern w:val="0"/>
          <w:sz w:val="28"/>
          <w:szCs w:val="28"/>
          <w:lang w:val="en-US" w:eastAsia="zh-CN"/>
        </w:rPr>
        <w:t>成效2：</w:t>
      </w:r>
      <w:r>
        <w:rPr>
          <w:rFonts w:hint="eastAsia" w:ascii="宋体" w:hAnsi="宋体" w:eastAsia="宋体" w:cs="宋体"/>
          <w:bCs/>
          <w:kern w:val="0"/>
          <w:sz w:val="28"/>
          <w:szCs w:val="28"/>
          <w:lang w:val="en-US" w:eastAsia="zh-CN"/>
        </w:rPr>
        <w:br w:type="textWrapping"/>
      </w:r>
      <w:r>
        <w:rPr>
          <w:rFonts w:hint="eastAsia" w:ascii="宋体" w:hAnsi="宋体" w:eastAsia="宋体" w:cs="宋体"/>
          <w:bCs/>
          <w:kern w:val="0"/>
          <w:sz w:val="28"/>
          <w:szCs w:val="28"/>
          <w:lang w:val="en-US" w:eastAsia="zh-CN"/>
        </w:rPr>
        <w:t>……</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2" w:firstLineChars="200"/>
        <w:jc w:val="left"/>
        <w:textAlignment w:val="auto"/>
        <w:rPr>
          <w:rFonts w:hint="eastAsia" w:ascii="仿宋" w:hAnsi="仿宋" w:eastAsia="仿宋" w:cs="仿宋"/>
          <w:b w:val="0"/>
          <w:bCs/>
          <w:kern w:val="0"/>
          <w:sz w:val="28"/>
          <w:szCs w:val="28"/>
        </w:rPr>
      </w:pPr>
      <w:r>
        <w:rPr>
          <w:rFonts w:hint="eastAsia" w:ascii="仿宋" w:hAnsi="仿宋" w:eastAsia="仿宋" w:cs="仿宋"/>
          <w:b/>
          <w:bCs w:val="0"/>
          <w:kern w:val="0"/>
          <w:sz w:val="28"/>
          <w:szCs w:val="28"/>
          <w:lang w:val="en-US" w:eastAsia="zh-CN"/>
        </w:rPr>
        <w:t>本学年</w:t>
      </w:r>
      <w:r>
        <w:rPr>
          <w:rFonts w:hint="eastAsia" w:ascii="仿宋" w:hAnsi="仿宋" w:eastAsia="仿宋" w:cs="仿宋"/>
          <w:b/>
          <w:bCs w:val="0"/>
          <w:kern w:val="0"/>
          <w:sz w:val="28"/>
          <w:szCs w:val="28"/>
        </w:rPr>
        <w:t>诊改</w:t>
      </w:r>
      <w:r>
        <w:rPr>
          <w:rFonts w:hint="eastAsia" w:ascii="仿宋" w:hAnsi="仿宋" w:eastAsia="仿宋" w:cs="仿宋"/>
          <w:b/>
          <w:bCs w:val="0"/>
          <w:kern w:val="0"/>
          <w:sz w:val="28"/>
          <w:szCs w:val="28"/>
          <w:lang w:val="en-US" w:eastAsia="zh-CN"/>
        </w:rPr>
        <w:t>目标3</w:t>
      </w:r>
      <w:r>
        <w:rPr>
          <w:rFonts w:hint="eastAsia" w:ascii="仿宋" w:hAnsi="仿宋" w:eastAsia="仿宋" w:cs="仿宋"/>
          <w:b/>
          <w:bCs w:val="0"/>
          <w:kern w:val="0"/>
          <w:sz w:val="28"/>
          <w:szCs w:val="28"/>
        </w:rPr>
        <w:t>：</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kern w:val="0"/>
          <w:sz w:val="28"/>
          <w:szCs w:val="28"/>
          <w:lang w:eastAsia="zh-CN"/>
        </w:rPr>
      </w:pPr>
      <w:r>
        <w:rPr>
          <w:rFonts w:hint="eastAsia" w:ascii="宋体" w:hAnsi="宋体" w:eastAsia="宋体" w:cs="宋体"/>
          <w:bCs/>
          <w:kern w:val="0"/>
          <w:sz w:val="28"/>
          <w:szCs w:val="28"/>
        </w:rPr>
        <w:t>自我诊断意见</w:t>
      </w:r>
      <w:r>
        <w:rPr>
          <w:rFonts w:hint="eastAsia" w:ascii="宋体" w:hAnsi="宋体" w:eastAsia="宋体" w:cs="宋体"/>
          <w:bCs/>
          <w:kern w:val="0"/>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kern w:val="0"/>
          <w:sz w:val="28"/>
          <w:szCs w:val="28"/>
        </w:rPr>
      </w:pPr>
      <w:r>
        <w:rPr>
          <w:rFonts w:hint="eastAsia" w:ascii="宋体" w:hAnsi="宋体" w:eastAsia="宋体" w:cs="宋体"/>
          <w:bCs/>
          <w:kern w:val="0"/>
          <w:sz w:val="28"/>
          <w:szCs w:val="28"/>
        </w:rPr>
        <w:t>改进措施1：</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kern w:val="0"/>
          <w:sz w:val="28"/>
          <w:szCs w:val="28"/>
          <w:lang w:val="en-US" w:eastAsia="zh-CN"/>
        </w:rPr>
      </w:pPr>
      <w:r>
        <w:rPr>
          <w:rFonts w:hint="eastAsia" w:ascii="宋体" w:hAnsi="宋体" w:eastAsia="宋体" w:cs="宋体"/>
          <w:bCs/>
          <w:kern w:val="0"/>
          <w:sz w:val="28"/>
          <w:szCs w:val="28"/>
        </w:rPr>
        <w:t>改进</w:t>
      </w:r>
      <w:r>
        <w:rPr>
          <w:rFonts w:hint="eastAsia" w:ascii="宋体" w:hAnsi="宋体" w:eastAsia="宋体" w:cs="宋体"/>
          <w:bCs/>
          <w:kern w:val="0"/>
          <w:sz w:val="28"/>
          <w:szCs w:val="28"/>
          <w:lang w:val="en-US" w:eastAsia="zh-CN"/>
        </w:rPr>
        <w:t>成效1：</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kern w:val="0"/>
          <w:sz w:val="28"/>
          <w:szCs w:val="28"/>
        </w:rPr>
      </w:pPr>
      <w:r>
        <w:rPr>
          <w:rFonts w:hint="eastAsia" w:ascii="宋体" w:hAnsi="宋体" w:eastAsia="宋体" w:cs="宋体"/>
          <w:bCs/>
          <w:kern w:val="0"/>
          <w:sz w:val="28"/>
          <w:szCs w:val="28"/>
        </w:rPr>
        <w:t>改进措施</w:t>
      </w:r>
      <w:r>
        <w:rPr>
          <w:rFonts w:hint="eastAsia" w:ascii="宋体" w:hAnsi="宋体" w:eastAsia="宋体" w:cs="宋体"/>
          <w:bCs/>
          <w:kern w:val="0"/>
          <w:sz w:val="28"/>
          <w:szCs w:val="28"/>
          <w:lang w:val="en-US" w:eastAsia="zh-CN"/>
        </w:rPr>
        <w:t>2</w:t>
      </w:r>
      <w:r>
        <w:rPr>
          <w:rFonts w:hint="eastAsia" w:ascii="宋体" w:hAnsi="宋体" w:eastAsia="宋体" w:cs="宋体"/>
          <w:bCs/>
          <w:kern w:val="0"/>
          <w:sz w:val="28"/>
          <w:szCs w:val="28"/>
        </w:rPr>
        <w:t>：</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kern w:val="0"/>
          <w:sz w:val="28"/>
          <w:szCs w:val="28"/>
          <w:lang w:val="en-US" w:eastAsia="zh-CN"/>
        </w:rPr>
      </w:pPr>
      <w:r>
        <w:rPr>
          <w:rFonts w:hint="eastAsia" w:ascii="宋体" w:hAnsi="宋体" w:eastAsia="宋体" w:cs="宋体"/>
          <w:bCs/>
          <w:kern w:val="0"/>
          <w:sz w:val="28"/>
          <w:szCs w:val="28"/>
        </w:rPr>
        <w:t>改进</w:t>
      </w:r>
      <w:r>
        <w:rPr>
          <w:rFonts w:hint="eastAsia" w:ascii="宋体" w:hAnsi="宋体" w:eastAsia="宋体" w:cs="宋体"/>
          <w:bCs/>
          <w:kern w:val="0"/>
          <w:sz w:val="28"/>
          <w:szCs w:val="28"/>
          <w:lang w:val="en-US" w:eastAsia="zh-CN"/>
        </w:rPr>
        <w:t>成效2：</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0" w:firstLineChars="200"/>
        <w:jc w:val="left"/>
        <w:textAlignment w:val="auto"/>
        <w:rPr>
          <w:rFonts w:hint="eastAsia" w:ascii="宋体" w:hAnsi="宋体" w:eastAsia="宋体" w:cs="宋体"/>
          <w:bCs/>
          <w:kern w:val="0"/>
          <w:sz w:val="28"/>
          <w:szCs w:val="28"/>
        </w:rPr>
      </w:pPr>
      <w:r>
        <w:rPr>
          <w:rFonts w:hint="eastAsia" w:ascii="宋体" w:hAnsi="宋体" w:eastAsia="宋体" w:cs="宋体"/>
          <w:bCs/>
          <w:kern w:val="0"/>
          <w:sz w:val="28"/>
          <w:szCs w:val="28"/>
          <w:lang w:val="en-US" w:eastAsia="zh-CN"/>
        </w:rPr>
        <w:t>……</w:t>
      </w:r>
    </w:p>
    <w:p>
      <w:pPr>
        <w:keepNext w:val="0"/>
        <w:keepLines w:val="0"/>
        <w:pageBreakBefore w:val="0"/>
        <w:widowControl w:val="0"/>
        <w:kinsoku/>
        <w:wordWrap/>
        <w:overflowPunct/>
        <w:topLinePunct w:val="0"/>
        <w:autoSpaceDE/>
        <w:autoSpaceDN/>
        <w:bidi w:val="0"/>
        <w:adjustRightInd w:val="0"/>
        <w:snapToGrid w:val="0"/>
        <w:spacing w:before="156" w:beforeLines="50" w:line="520" w:lineRule="exact"/>
        <w:ind w:firstLine="562" w:firstLineChars="200"/>
        <w:jc w:val="left"/>
        <w:textAlignment w:val="auto"/>
        <w:rPr>
          <w:rFonts w:hint="eastAsia" w:ascii="黑体" w:hAnsi="黑体" w:eastAsia="黑体" w:cs="黑体"/>
          <w:b/>
          <w:bCs w:val="0"/>
          <w:color w:val="0000FF"/>
          <w:kern w:val="0"/>
          <w:sz w:val="28"/>
          <w:szCs w:val="28"/>
          <w:lang w:val="en-US" w:eastAsia="zh-CN"/>
        </w:rPr>
      </w:pPr>
      <w:r>
        <w:rPr>
          <w:rFonts w:hint="eastAsia" w:ascii="黑体" w:hAnsi="黑体" w:eastAsia="黑体" w:cs="黑体"/>
          <w:b/>
          <w:bCs w:val="0"/>
          <w:kern w:val="0"/>
          <w:sz w:val="28"/>
          <w:szCs w:val="28"/>
          <w:lang w:val="en-US" w:eastAsia="zh-CN"/>
        </w:rPr>
        <w:t>三、下一步努力的方向</w:t>
      </w:r>
      <w:r>
        <w:rPr>
          <w:rFonts w:hint="eastAsia" w:ascii="黑体" w:hAnsi="黑体" w:eastAsia="黑体" w:cs="黑体"/>
          <w:b/>
          <w:bCs w:val="0"/>
          <w:color w:val="0000FF"/>
          <w:kern w:val="0"/>
          <w:sz w:val="28"/>
          <w:szCs w:val="28"/>
          <w:lang w:val="en-US" w:eastAsia="zh-CN"/>
        </w:rPr>
        <w:t>（新目标）</w:t>
      </w:r>
    </w:p>
    <w:p>
      <w:pP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br w:type="page"/>
      </w:r>
    </w:p>
    <w:p>
      <w:pPr>
        <w:adjustRightInd w:val="0"/>
        <w:snapToGrid w:val="0"/>
        <w:spacing w:line="520" w:lineRule="exact"/>
        <w:jc w:val="center"/>
        <w:rPr>
          <w:rFonts w:ascii="黑体" w:hAnsi="黑体" w:eastAsia="黑体" w:cs="Times New Roman"/>
          <w:sz w:val="36"/>
          <w:szCs w:val="36"/>
        </w:rPr>
      </w:pPr>
    </w:p>
    <w:p>
      <w:pPr>
        <w:adjustRightInd w:val="0"/>
        <w:snapToGrid w:val="0"/>
        <w:spacing w:line="520" w:lineRule="exact"/>
        <w:jc w:val="center"/>
        <w:rPr>
          <w:rFonts w:hint="eastAsia" w:ascii="宋体" w:hAnsi="宋体" w:eastAsia="宋体" w:cs="宋体"/>
          <w:b/>
          <w:bCs/>
          <w:sz w:val="36"/>
          <w:szCs w:val="36"/>
        </w:rPr>
      </w:pPr>
      <w:r>
        <w:rPr>
          <w:rFonts w:hint="eastAsia" w:ascii="宋体" w:hAnsi="宋体" w:eastAsia="宋体" w:cs="宋体"/>
          <w:b/>
          <w:bCs/>
          <w:sz w:val="36"/>
          <w:szCs w:val="36"/>
          <w:lang w:val="en-US" w:eastAsia="zh-CN"/>
        </w:rPr>
        <w:t>产业学院</w:t>
      </w:r>
      <w:r>
        <w:rPr>
          <w:rFonts w:hint="eastAsia" w:ascii="宋体" w:hAnsi="宋体" w:eastAsia="宋体" w:cs="宋体"/>
          <w:b/>
          <w:bCs/>
          <w:sz w:val="36"/>
          <w:szCs w:val="36"/>
        </w:rPr>
        <w:t>学生层面学年自我诊改报告</w:t>
      </w:r>
    </w:p>
    <w:p>
      <w:pPr>
        <w:adjustRightInd w:val="0"/>
        <w:snapToGrid w:val="0"/>
        <w:spacing w:line="520" w:lineRule="exact"/>
        <w:jc w:val="center"/>
        <w:rPr>
          <w:rFonts w:hint="eastAsia" w:ascii="宋体" w:hAnsi="宋体" w:eastAsia="宋体" w:cs="宋体"/>
          <w:b/>
          <w:bCs/>
          <w:sz w:val="36"/>
          <w:szCs w:val="36"/>
        </w:rPr>
      </w:pPr>
      <w:r>
        <w:rPr>
          <w:rFonts w:hint="eastAsia" w:ascii="宋体" w:hAnsi="宋体" w:eastAsia="宋体" w:cs="宋体"/>
          <w:b/>
          <w:bCs/>
          <w:sz w:val="36"/>
          <w:szCs w:val="36"/>
        </w:rPr>
        <w:t>（参考格式）</w:t>
      </w:r>
    </w:p>
    <w:p>
      <w:pPr>
        <w:adjustRightInd w:val="0"/>
        <w:snapToGrid w:val="0"/>
        <w:spacing w:before="156" w:beforeLines="50" w:line="520" w:lineRule="exact"/>
        <w:ind w:firstLine="562" w:firstLineChars="200"/>
        <w:jc w:val="left"/>
        <w:rPr>
          <w:rFonts w:ascii="宋体" w:hAnsi="宋体" w:eastAsia="宋体" w:cs="宋体"/>
          <w:b/>
          <w:kern w:val="0"/>
          <w:sz w:val="28"/>
          <w:szCs w:val="28"/>
        </w:rPr>
      </w:pPr>
    </w:p>
    <w:p>
      <w:pPr>
        <w:adjustRightInd w:val="0"/>
        <w:snapToGrid w:val="0"/>
        <w:spacing w:before="156" w:beforeLines="50" w:line="520" w:lineRule="exact"/>
        <w:ind w:firstLine="562" w:firstLineChars="200"/>
        <w:jc w:val="left"/>
        <w:rPr>
          <w:rFonts w:hint="eastAsia" w:ascii="宋体" w:hAnsi="宋体" w:eastAsia="宋体" w:cs="宋体"/>
          <w:bCs/>
          <w:color w:val="0000FF"/>
          <w:kern w:val="0"/>
          <w:sz w:val="28"/>
          <w:szCs w:val="28"/>
        </w:rPr>
      </w:pPr>
      <w:r>
        <w:rPr>
          <w:rFonts w:hint="eastAsia" w:ascii="黑体" w:hAnsi="黑体" w:eastAsia="黑体" w:cs="黑体"/>
          <w:b/>
          <w:kern w:val="0"/>
          <w:sz w:val="28"/>
          <w:szCs w:val="28"/>
        </w:rPr>
        <w:t>一、自我诊改工作概述</w:t>
      </w:r>
      <w:r>
        <w:rPr>
          <w:rFonts w:hint="eastAsia" w:ascii="宋体" w:hAnsi="宋体" w:eastAsia="宋体" w:cs="宋体"/>
          <w:b/>
          <w:color w:val="0000FF"/>
          <w:kern w:val="0"/>
          <w:sz w:val="28"/>
          <w:szCs w:val="28"/>
        </w:rPr>
        <w:t>（报告内容必须真实、准确，务必写实，无需等级性结论。）</w:t>
      </w:r>
    </w:p>
    <w:p>
      <w:pPr>
        <w:adjustRightInd w:val="0"/>
        <w:snapToGrid w:val="0"/>
        <w:spacing w:before="156" w:beforeLines="50" w:line="520" w:lineRule="exact"/>
        <w:ind w:firstLine="562" w:firstLineChars="200"/>
        <w:jc w:val="left"/>
        <w:rPr>
          <w:rFonts w:hint="eastAsia" w:ascii="黑体" w:hAnsi="黑体" w:eastAsia="黑体" w:cs="黑体"/>
          <w:b/>
          <w:kern w:val="0"/>
          <w:sz w:val="28"/>
          <w:szCs w:val="28"/>
        </w:rPr>
      </w:pPr>
      <w:r>
        <w:rPr>
          <w:rFonts w:hint="eastAsia" w:ascii="黑体" w:hAnsi="黑体" w:eastAsia="黑体" w:cs="黑体"/>
          <w:b/>
          <w:kern w:val="0"/>
          <w:sz w:val="28"/>
          <w:szCs w:val="28"/>
        </w:rPr>
        <w:t>二、自我诊改措施及成效</w:t>
      </w:r>
    </w:p>
    <w:p>
      <w:pPr>
        <w:adjustRightInd w:val="0"/>
        <w:snapToGrid w:val="0"/>
        <w:spacing w:before="156" w:beforeLines="50" w:line="520" w:lineRule="exact"/>
        <w:ind w:firstLine="562" w:firstLineChars="200"/>
        <w:jc w:val="left"/>
        <w:rPr>
          <w:rFonts w:ascii="仿宋" w:hAnsi="仿宋" w:eastAsia="仿宋" w:cs="仿宋"/>
          <w:b/>
          <w:color w:val="0000FF"/>
          <w:kern w:val="0"/>
          <w:sz w:val="28"/>
          <w:szCs w:val="28"/>
        </w:rPr>
      </w:pPr>
      <w:r>
        <w:rPr>
          <w:rFonts w:hint="eastAsia" w:ascii="仿宋" w:hAnsi="仿宋" w:eastAsia="仿宋" w:cs="仿宋"/>
          <w:b/>
          <w:kern w:val="0"/>
          <w:sz w:val="28"/>
          <w:szCs w:val="28"/>
        </w:rPr>
        <w:t>本学年（学期）诊改目标1：</w:t>
      </w:r>
      <w:r>
        <w:rPr>
          <w:rFonts w:hint="eastAsia" w:ascii="仿宋" w:hAnsi="仿宋" w:eastAsia="仿宋" w:cs="仿宋"/>
          <w:b/>
          <w:color w:val="0000FF"/>
          <w:kern w:val="0"/>
          <w:sz w:val="28"/>
          <w:szCs w:val="28"/>
        </w:rPr>
        <w:t>（第二级标题用四、仿宋加粗）</w:t>
      </w:r>
    </w:p>
    <w:p>
      <w:pPr>
        <w:adjustRightInd w:val="0"/>
        <w:snapToGrid w:val="0"/>
        <w:spacing w:before="156" w:beforeLines="50" w:line="520" w:lineRule="exact"/>
        <w:ind w:firstLine="560" w:firstLineChars="200"/>
        <w:jc w:val="left"/>
        <w:rPr>
          <w:rFonts w:ascii="宋体" w:hAnsi="宋体" w:eastAsia="宋体" w:cs="宋体"/>
          <w:bCs/>
          <w:color w:val="0000FF"/>
          <w:kern w:val="0"/>
          <w:sz w:val="28"/>
          <w:szCs w:val="28"/>
        </w:rPr>
      </w:pPr>
      <w:r>
        <w:rPr>
          <w:rFonts w:hint="eastAsia" w:ascii="宋体" w:hAnsi="宋体" w:eastAsia="宋体" w:cs="宋体"/>
          <w:bCs/>
          <w:kern w:val="0"/>
          <w:sz w:val="28"/>
          <w:szCs w:val="28"/>
        </w:rPr>
        <w:t>自我诊断意见：</w:t>
      </w:r>
      <w:r>
        <w:rPr>
          <w:rFonts w:hint="eastAsia" w:ascii="宋体" w:hAnsi="宋体" w:eastAsia="宋体" w:cs="宋体"/>
          <w:bCs/>
          <w:color w:val="0000FF"/>
          <w:kern w:val="0"/>
          <w:sz w:val="28"/>
          <w:szCs w:val="28"/>
        </w:rPr>
        <w:t>（需阐明目标达成程度，主要成绩，存在问题，原因分析。总体不超过500字。存在问题与原因分析应占一半左右篇幅。）</w:t>
      </w:r>
    </w:p>
    <w:p>
      <w:pPr>
        <w:adjustRightInd w:val="0"/>
        <w:snapToGrid w:val="0"/>
        <w:spacing w:before="156" w:beforeLines="50" w:line="520" w:lineRule="exact"/>
        <w:ind w:firstLine="560" w:firstLineChars="200"/>
        <w:jc w:val="left"/>
        <w:rPr>
          <w:rFonts w:ascii="宋体" w:hAnsi="宋体" w:eastAsia="宋体" w:cs="宋体"/>
          <w:bCs/>
          <w:color w:val="0000FF"/>
          <w:kern w:val="0"/>
          <w:sz w:val="28"/>
          <w:szCs w:val="28"/>
        </w:rPr>
      </w:pPr>
      <w:r>
        <w:rPr>
          <w:rFonts w:hint="eastAsia" w:ascii="宋体" w:hAnsi="宋体" w:eastAsia="宋体" w:cs="宋体"/>
          <w:bCs/>
          <w:kern w:val="0"/>
          <w:sz w:val="28"/>
          <w:szCs w:val="28"/>
        </w:rPr>
        <w:t>改进措施1：</w:t>
      </w:r>
      <w:r>
        <w:rPr>
          <w:rFonts w:hint="eastAsia" w:ascii="宋体" w:hAnsi="宋体" w:eastAsia="宋体" w:cs="宋体"/>
          <w:bCs/>
          <w:color w:val="0000FF"/>
          <w:kern w:val="0"/>
          <w:sz w:val="28"/>
          <w:szCs w:val="28"/>
        </w:rPr>
        <w:t>（需突出针对性、注重可行性。总体不超过200字。）</w:t>
      </w:r>
    </w:p>
    <w:p>
      <w:pPr>
        <w:adjustRightInd w:val="0"/>
        <w:snapToGrid w:val="0"/>
        <w:spacing w:before="156" w:beforeLines="50" w:line="520" w:lineRule="exact"/>
        <w:ind w:firstLine="560" w:firstLineChars="200"/>
        <w:jc w:val="left"/>
        <w:rPr>
          <w:rFonts w:ascii="宋体" w:hAnsi="宋体" w:eastAsia="宋体" w:cs="宋体"/>
          <w:bCs/>
          <w:color w:val="0000FF"/>
          <w:kern w:val="0"/>
          <w:sz w:val="28"/>
          <w:szCs w:val="28"/>
        </w:rPr>
      </w:pPr>
      <w:r>
        <w:rPr>
          <w:rFonts w:hint="eastAsia" w:ascii="宋体" w:hAnsi="宋体" w:eastAsia="宋体" w:cs="宋体"/>
          <w:bCs/>
          <w:kern w:val="0"/>
          <w:sz w:val="28"/>
          <w:szCs w:val="28"/>
        </w:rPr>
        <w:t>改进成效1：</w:t>
      </w:r>
      <w:r>
        <w:rPr>
          <w:rFonts w:hint="eastAsia" w:ascii="宋体" w:hAnsi="宋体" w:eastAsia="宋体" w:cs="宋体"/>
          <w:bCs/>
          <w:color w:val="0000FF"/>
          <w:kern w:val="0"/>
          <w:sz w:val="28"/>
          <w:szCs w:val="28"/>
        </w:rPr>
        <w:t>（“改进成效”指实施改进措施之后已经显现的实际效果或形成的特色，不是预测或估计成效。如果措施尚未实施，请加说明。总体不超过200字。）</w:t>
      </w:r>
    </w:p>
    <w:p>
      <w:pPr>
        <w:adjustRightInd w:val="0"/>
        <w:snapToGrid w:val="0"/>
        <w:spacing w:before="156" w:beforeLines="50" w:line="520" w:lineRule="exact"/>
        <w:ind w:firstLine="560" w:firstLineChars="200"/>
        <w:jc w:val="left"/>
        <w:rPr>
          <w:rFonts w:ascii="宋体" w:hAnsi="宋体" w:eastAsia="宋体" w:cs="宋体"/>
          <w:bCs/>
          <w:kern w:val="0"/>
          <w:sz w:val="28"/>
          <w:szCs w:val="28"/>
        </w:rPr>
      </w:pPr>
      <w:r>
        <w:rPr>
          <w:rFonts w:hint="eastAsia" w:ascii="宋体" w:hAnsi="宋体" w:eastAsia="宋体" w:cs="宋体"/>
          <w:bCs/>
          <w:kern w:val="0"/>
          <w:sz w:val="28"/>
          <w:szCs w:val="28"/>
        </w:rPr>
        <w:t>改进措施2：</w:t>
      </w:r>
    </w:p>
    <w:p>
      <w:pPr>
        <w:adjustRightInd w:val="0"/>
        <w:snapToGrid w:val="0"/>
        <w:spacing w:before="156" w:beforeLines="50" w:line="520" w:lineRule="exact"/>
        <w:ind w:left="559" w:leftChars="266"/>
        <w:jc w:val="left"/>
        <w:rPr>
          <w:rFonts w:ascii="宋体" w:hAnsi="宋体" w:eastAsia="宋体" w:cs="宋体"/>
          <w:bCs/>
          <w:kern w:val="0"/>
          <w:sz w:val="28"/>
          <w:szCs w:val="28"/>
        </w:rPr>
      </w:pPr>
      <w:r>
        <w:rPr>
          <w:rFonts w:hint="eastAsia" w:ascii="宋体" w:hAnsi="宋体" w:eastAsia="宋体" w:cs="宋体"/>
          <w:bCs/>
          <w:kern w:val="0"/>
          <w:sz w:val="28"/>
          <w:szCs w:val="28"/>
        </w:rPr>
        <w:t>改进成效2：</w:t>
      </w:r>
      <w:r>
        <w:rPr>
          <w:rFonts w:hint="eastAsia" w:ascii="宋体" w:hAnsi="宋体" w:eastAsia="宋体" w:cs="宋体"/>
          <w:bCs/>
          <w:kern w:val="0"/>
          <w:sz w:val="28"/>
          <w:szCs w:val="28"/>
        </w:rPr>
        <w:br w:type="textWrapping"/>
      </w:r>
      <w:r>
        <w:rPr>
          <w:rFonts w:hint="eastAsia" w:ascii="宋体" w:hAnsi="宋体" w:eastAsia="宋体" w:cs="宋体"/>
          <w:bCs/>
          <w:kern w:val="0"/>
          <w:sz w:val="28"/>
          <w:szCs w:val="28"/>
        </w:rPr>
        <w:t>……</w:t>
      </w:r>
      <w:r>
        <w:rPr>
          <w:rFonts w:hint="eastAsia" w:ascii="宋体" w:hAnsi="宋体" w:eastAsia="宋体" w:cs="宋体"/>
          <w:bCs/>
          <w:color w:val="0000FF"/>
          <w:kern w:val="0"/>
          <w:sz w:val="28"/>
          <w:szCs w:val="28"/>
        </w:rPr>
        <w:t>（正文四，宋体）</w:t>
      </w:r>
    </w:p>
    <w:p>
      <w:pPr>
        <w:adjustRightInd w:val="0"/>
        <w:snapToGrid w:val="0"/>
        <w:spacing w:before="156" w:beforeLines="50" w:line="520" w:lineRule="exact"/>
        <w:ind w:firstLine="562" w:firstLineChars="200"/>
        <w:jc w:val="left"/>
        <w:rPr>
          <w:rFonts w:ascii="仿宋" w:hAnsi="仿宋" w:eastAsia="仿宋" w:cs="仿宋"/>
          <w:bCs/>
          <w:kern w:val="0"/>
          <w:sz w:val="28"/>
          <w:szCs w:val="28"/>
        </w:rPr>
      </w:pPr>
      <w:r>
        <w:rPr>
          <w:rFonts w:hint="eastAsia" w:ascii="仿宋" w:hAnsi="仿宋" w:eastAsia="仿宋" w:cs="仿宋"/>
          <w:b/>
          <w:kern w:val="0"/>
          <w:sz w:val="28"/>
          <w:szCs w:val="28"/>
        </w:rPr>
        <w:t>本学年（学期）诊改目标2：</w:t>
      </w:r>
    </w:p>
    <w:p>
      <w:pPr>
        <w:adjustRightInd w:val="0"/>
        <w:snapToGrid w:val="0"/>
        <w:spacing w:before="156" w:beforeLines="50" w:line="520" w:lineRule="exact"/>
        <w:ind w:firstLine="560" w:firstLineChars="200"/>
        <w:jc w:val="left"/>
        <w:rPr>
          <w:rFonts w:ascii="宋体" w:hAnsi="宋体" w:eastAsia="宋体" w:cs="宋体"/>
          <w:bCs/>
          <w:kern w:val="0"/>
          <w:sz w:val="28"/>
          <w:szCs w:val="28"/>
        </w:rPr>
      </w:pPr>
      <w:r>
        <w:rPr>
          <w:rFonts w:hint="eastAsia" w:ascii="宋体" w:hAnsi="宋体" w:eastAsia="宋体" w:cs="宋体"/>
          <w:bCs/>
          <w:kern w:val="0"/>
          <w:sz w:val="28"/>
          <w:szCs w:val="28"/>
        </w:rPr>
        <w:t>自我诊断意见：</w:t>
      </w:r>
    </w:p>
    <w:p>
      <w:pPr>
        <w:adjustRightInd w:val="0"/>
        <w:snapToGrid w:val="0"/>
        <w:spacing w:before="156" w:beforeLines="50" w:line="520" w:lineRule="exact"/>
        <w:ind w:firstLine="560" w:firstLineChars="200"/>
        <w:jc w:val="left"/>
        <w:rPr>
          <w:rFonts w:ascii="宋体" w:hAnsi="宋体" w:eastAsia="宋体" w:cs="宋体"/>
          <w:bCs/>
          <w:kern w:val="0"/>
          <w:sz w:val="28"/>
          <w:szCs w:val="28"/>
        </w:rPr>
      </w:pPr>
      <w:r>
        <w:rPr>
          <w:rFonts w:hint="eastAsia" w:ascii="宋体" w:hAnsi="宋体" w:eastAsia="宋体" w:cs="宋体"/>
          <w:bCs/>
          <w:kern w:val="0"/>
          <w:sz w:val="28"/>
          <w:szCs w:val="28"/>
        </w:rPr>
        <w:t>改进措施1：</w:t>
      </w:r>
    </w:p>
    <w:p>
      <w:pPr>
        <w:adjustRightInd w:val="0"/>
        <w:snapToGrid w:val="0"/>
        <w:spacing w:before="156" w:beforeLines="50" w:line="520" w:lineRule="exact"/>
        <w:ind w:firstLine="560" w:firstLineChars="200"/>
        <w:jc w:val="left"/>
        <w:rPr>
          <w:rFonts w:ascii="宋体" w:hAnsi="宋体" w:eastAsia="宋体" w:cs="宋体"/>
          <w:bCs/>
          <w:kern w:val="0"/>
          <w:sz w:val="28"/>
          <w:szCs w:val="28"/>
        </w:rPr>
      </w:pPr>
      <w:r>
        <w:rPr>
          <w:rFonts w:hint="eastAsia" w:ascii="宋体" w:hAnsi="宋体" w:eastAsia="宋体" w:cs="宋体"/>
          <w:bCs/>
          <w:kern w:val="0"/>
          <w:sz w:val="28"/>
          <w:szCs w:val="28"/>
        </w:rPr>
        <w:t>改进成效1：</w:t>
      </w:r>
    </w:p>
    <w:p>
      <w:pPr>
        <w:adjustRightInd w:val="0"/>
        <w:snapToGrid w:val="0"/>
        <w:spacing w:before="156" w:beforeLines="50" w:line="520" w:lineRule="exact"/>
        <w:ind w:firstLine="560" w:firstLineChars="200"/>
        <w:jc w:val="left"/>
        <w:rPr>
          <w:rFonts w:ascii="宋体" w:hAnsi="宋体" w:eastAsia="宋体" w:cs="宋体"/>
          <w:bCs/>
          <w:kern w:val="0"/>
          <w:sz w:val="28"/>
          <w:szCs w:val="28"/>
        </w:rPr>
      </w:pPr>
      <w:r>
        <w:rPr>
          <w:rFonts w:hint="eastAsia" w:ascii="宋体" w:hAnsi="宋体" w:eastAsia="宋体" w:cs="宋体"/>
          <w:bCs/>
          <w:kern w:val="0"/>
          <w:sz w:val="28"/>
          <w:szCs w:val="28"/>
        </w:rPr>
        <w:t>改进措施2：</w:t>
      </w:r>
    </w:p>
    <w:p>
      <w:pPr>
        <w:adjustRightInd w:val="0"/>
        <w:snapToGrid w:val="0"/>
        <w:spacing w:before="156" w:beforeLines="50" w:line="520" w:lineRule="exact"/>
        <w:ind w:left="559" w:leftChars="266"/>
        <w:jc w:val="left"/>
        <w:rPr>
          <w:rFonts w:ascii="宋体" w:hAnsi="宋体" w:eastAsia="宋体" w:cs="宋体"/>
          <w:bCs/>
          <w:kern w:val="0"/>
          <w:sz w:val="28"/>
          <w:szCs w:val="28"/>
        </w:rPr>
      </w:pPr>
      <w:r>
        <w:rPr>
          <w:rFonts w:hint="eastAsia" w:ascii="宋体" w:hAnsi="宋体" w:eastAsia="宋体" w:cs="宋体"/>
          <w:bCs/>
          <w:kern w:val="0"/>
          <w:sz w:val="28"/>
          <w:szCs w:val="28"/>
        </w:rPr>
        <w:t>改进成效2：</w:t>
      </w:r>
      <w:r>
        <w:rPr>
          <w:rFonts w:hint="eastAsia" w:ascii="宋体" w:hAnsi="宋体" w:eastAsia="宋体" w:cs="宋体"/>
          <w:bCs/>
          <w:kern w:val="0"/>
          <w:sz w:val="28"/>
          <w:szCs w:val="28"/>
        </w:rPr>
        <w:br w:type="textWrapping"/>
      </w:r>
      <w:r>
        <w:rPr>
          <w:rFonts w:hint="eastAsia" w:ascii="宋体" w:hAnsi="宋体" w:eastAsia="宋体" w:cs="宋体"/>
          <w:bCs/>
          <w:kern w:val="0"/>
          <w:sz w:val="28"/>
          <w:szCs w:val="28"/>
        </w:rPr>
        <w:t>……</w:t>
      </w:r>
    </w:p>
    <w:p>
      <w:pPr>
        <w:adjustRightInd w:val="0"/>
        <w:snapToGrid w:val="0"/>
        <w:spacing w:before="156" w:beforeLines="50" w:line="520" w:lineRule="exact"/>
        <w:ind w:firstLine="562" w:firstLineChars="200"/>
        <w:jc w:val="left"/>
        <w:rPr>
          <w:rFonts w:ascii="仿宋" w:hAnsi="仿宋" w:eastAsia="仿宋" w:cs="仿宋"/>
          <w:bCs/>
          <w:kern w:val="0"/>
          <w:sz w:val="28"/>
          <w:szCs w:val="28"/>
        </w:rPr>
      </w:pPr>
      <w:r>
        <w:rPr>
          <w:rFonts w:hint="eastAsia" w:ascii="仿宋" w:hAnsi="仿宋" w:eastAsia="仿宋" w:cs="仿宋"/>
          <w:b/>
          <w:kern w:val="0"/>
          <w:sz w:val="28"/>
          <w:szCs w:val="28"/>
        </w:rPr>
        <w:t>本学年（学期）诊改目标3：</w:t>
      </w:r>
    </w:p>
    <w:p>
      <w:pPr>
        <w:adjustRightInd w:val="0"/>
        <w:snapToGrid w:val="0"/>
        <w:spacing w:before="156" w:beforeLines="50" w:line="520" w:lineRule="exact"/>
        <w:ind w:firstLine="560" w:firstLineChars="200"/>
        <w:jc w:val="left"/>
        <w:rPr>
          <w:rFonts w:ascii="宋体" w:hAnsi="宋体" w:eastAsia="宋体" w:cs="宋体"/>
          <w:bCs/>
          <w:kern w:val="0"/>
          <w:sz w:val="28"/>
          <w:szCs w:val="28"/>
        </w:rPr>
      </w:pPr>
      <w:r>
        <w:rPr>
          <w:rFonts w:hint="eastAsia" w:ascii="宋体" w:hAnsi="宋体" w:eastAsia="宋体" w:cs="宋体"/>
          <w:bCs/>
          <w:kern w:val="0"/>
          <w:sz w:val="28"/>
          <w:szCs w:val="28"/>
        </w:rPr>
        <w:t>自我诊断意见：</w:t>
      </w:r>
    </w:p>
    <w:p>
      <w:pPr>
        <w:adjustRightInd w:val="0"/>
        <w:snapToGrid w:val="0"/>
        <w:spacing w:before="156" w:beforeLines="50" w:line="520" w:lineRule="exact"/>
        <w:ind w:firstLine="560" w:firstLineChars="200"/>
        <w:jc w:val="left"/>
        <w:rPr>
          <w:rFonts w:ascii="宋体" w:hAnsi="宋体" w:eastAsia="宋体" w:cs="宋体"/>
          <w:bCs/>
          <w:kern w:val="0"/>
          <w:sz w:val="28"/>
          <w:szCs w:val="28"/>
        </w:rPr>
      </w:pPr>
      <w:r>
        <w:rPr>
          <w:rFonts w:hint="eastAsia" w:ascii="宋体" w:hAnsi="宋体" w:eastAsia="宋体" w:cs="宋体"/>
          <w:bCs/>
          <w:kern w:val="0"/>
          <w:sz w:val="28"/>
          <w:szCs w:val="28"/>
        </w:rPr>
        <w:t>改进措施1：</w:t>
      </w:r>
    </w:p>
    <w:p>
      <w:pPr>
        <w:adjustRightInd w:val="0"/>
        <w:snapToGrid w:val="0"/>
        <w:spacing w:before="156" w:beforeLines="50" w:line="520" w:lineRule="exact"/>
        <w:ind w:firstLine="560" w:firstLineChars="200"/>
        <w:jc w:val="left"/>
        <w:rPr>
          <w:rFonts w:ascii="宋体" w:hAnsi="宋体" w:eastAsia="宋体" w:cs="宋体"/>
          <w:bCs/>
          <w:kern w:val="0"/>
          <w:sz w:val="28"/>
          <w:szCs w:val="28"/>
        </w:rPr>
      </w:pPr>
      <w:r>
        <w:rPr>
          <w:rFonts w:hint="eastAsia" w:ascii="宋体" w:hAnsi="宋体" w:eastAsia="宋体" w:cs="宋体"/>
          <w:bCs/>
          <w:kern w:val="0"/>
          <w:sz w:val="28"/>
          <w:szCs w:val="28"/>
        </w:rPr>
        <w:t>改进成效1：</w:t>
      </w:r>
    </w:p>
    <w:p>
      <w:pPr>
        <w:adjustRightInd w:val="0"/>
        <w:snapToGrid w:val="0"/>
        <w:spacing w:before="156" w:beforeLines="50" w:line="520" w:lineRule="exact"/>
        <w:ind w:firstLine="560" w:firstLineChars="200"/>
        <w:jc w:val="left"/>
        <w:rPr>
          <w:rFonts w:ascii="宋体" w:hAnsi="宋体" w:eastAsia="宋体" w:cs="宋体"/>
          <w:bCs/>
          <w:kern w:val="0"/>
          <w:sz w:val="28"/>
          <w:szCs w:val="28"/>
        </w:rPr>
      </w:pPr>
      <w:r>
        <w:rPr>
          <w:rFonts w:hint="eastAsia" w:ascii="宋体" w:hAnsi="宋体" w:eastAsia="宋体" w:cs="宋体"/>
          <w:bCs/>
          <w:kern w:val="0"/>
          <w:sz w:val="28"/>
          <w:szCs w:val="28"/>
        </w:rPr>
        <w:t>改进措施2：</w:t>
      </w:r>
    </w:p>
    <w:p>
      <w:pPr>
        <w:adjustRightInd w:val="0"/>
        <w:snapToGrid w:val="0"/>
        <w:spacing w:before="156" w:beforeLines="50" w:line="520" w:lineRule="exact"/>
        <w:ind w:firstLine="560" w:firstLineChars="200"/>
        <w:jc w:val="left"/>
        <w:rPr>
          <w:rFonts w:ascii="宋体" w:hAnsi="宋体" w:eastAsia="宋体" w:cs="宋体"/>
          <w:bCs/>
          <w:kern w:val="0"/>
          <w:sz w:val="28"/>
          <w:szCs w:val="28"/>
        </w:rPr>
      </w:pPr>
      <w:r>
        <w:rPr>
          <w:rFonts w:hint="eastAsia" w:ascii="宋体" w:hAnsi="宋体" w:eastAsia="宋体" w:cs="宋体"/>
          <w:bCs/>
          <w:kern w:val="0"/>
          <w:sz w:val="28"/>
          <w:szCs w:val="28"/>
        </w:rPr>
        <w:t>改进成效2：</w:t>
      </w:r>
    </w:p>
    <w:p>
      <w:pPr>
        <w:adjustRightInd w:val="0"/>
        <w:snapToGrid w:val="0"/>
        <w:spacing w:before="156" w:beforeLines="50" w:line="520" w:lineRule="exact"/>
        <w:ind w:firstLine="560" w:firstLineChars="200"/>
        <w:jc w:val="left"/>
        <w:rPr>
          <w:rFonts w:ascii="宋体" w:hAnsi="宋体" w:eastAsia="宋体" w:cs="宋体"/>
          <w:bCs/>
          <w:kern w:val="0"/>
          <w:sz w:val="28"/>
          <w:szCs w:val="28"/>
        </w:rPr>
      </w:pPr>
      <w:r>
        <w:rPr>
          <w:rFonts w:hint="eastAsia" w:ascii="宋体" w:hAnsi="宋体" w:eastAsia="宋体" w:cs="宋体"/>
          <w:bCs/>
          <w:kern w:val="0"/>
          <w:sz w:val="28"/>
          <w:szCs w:val="28"/>
        </w:rPr>
        <w:t>……</w:t>
      </w:r>
    </w:p>
    <w:p>
      <w:pPr>
        <w:ind w:firstLine="562" w:firstLineChars="200"/>
        <w:rPr>
          <w:rFonts w:hint="eastAsia"/>
          <w:lang w:eastAsia="zh-CN"/>
        </w:rPr>
      </w:pPr>
      <w:r>
        <w:rPr>
          <w:rFonts w:hint="eastAsia" w:ascii="黑体" w:hAnsi="黑体" w:eastAsia="黑体" w:cs="黑体"/>
          <w:b/>
          <w:kern w:val="0"/>
          <w:sz w:val="28"/>
          <w:szCs w:val="28"/>
        </w:rPr>
        <w:t>三、下一步努力的方向</w:t>
      </w:r>
      <w:r>
        <w:rPr>
          <w:rFonts w:hint="eastAsia" w:ascii="黑体" w:hAnsi="黑体" w:eastAsia="黑体" w:cs="黑体"/>
          <w:b/>
          <w:color w:val="0000FF"/>
          <w:kern w:val="0"/>
          <w:sz w:val="28"/>
          <w:szCs w:val="28"/>
        </w:rPr>
        <w:t>（新目标）</w:t>
      </w:r>
      <w:bookmarkStart w:id="2" w:name="_GoBack"/>
      <w:bookmarkEnd w:id="2"/>
    </w:p>
    <w:sectPr>
      <w:pgSz w:w="11906" w:h="16838"/>
      <w:pgMar w:top="1440" w:right="1417" w:bottom="1440" w:left="1417"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方正小标宋简体">
    <w:altName w:val="黑体"/>
    <w:panose1 w:val="00000000000000000000"/>
    <w:charset w:val="00"/>
    <w:family w:val="auto"/>
    <w:pitch w:val="default"/>
    <w:sig w:usb0="00000000" w:usb1="00000000" w:usb2="00000000" w:usb3="00000000" w:csb0="00000000" w:csb1="00000000"/>
  </w:font>
  <w:font w:name="楷体_GB2312">
    <w:altName w:val="楷体"/>
    <w:panose1 w:val="00000000000000000000"/>
    <w:charset w:val="00"/>
    <w:family w:val="auto"/>
    <w:pitch w:val="default"/>
    <w:sig w:usb0="00000000" w:usb1="00000000" w:usb2="00000000" w:usb3="00000000" w:csb0="00000000" w:csb1="00000000"/>
  </w:font>
  <w:font w:name="华文中宋">
    <w:panose1 w:val="02010600040101010101"/>
    <w:charset w:val="86"/>
    <w:family w:val="roman"/>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c5ZTE2MGE1ZWEyMzE3ZDIwNzUzNzViOTYyZTE4MDgifQ=="/>
  </w:docVars>
  <w:rsids>
    <w:rsidRoot w:val="28842D88"/>
    <w:rsid w:val="03906A9D"/>
    <w:rsid w:val="0DB57A7C"/>
    <w:rsid w:val="0E260B91"/>
    <w:rsid w:val="0F8751F8"/>
    <w:rsid w:val="10834E38"/>
    <w:rsid w:val="13392CAD"/>
    <w:rsid w:val="14AB63C6"/>
    <w:rsid w:val="15DC46C0"/>
    <w:rsid w:val="193236A0"/>
    <w:rsid w:val="1B6215DC"/>
    <w:rsid w:val="1DD83D76"/>
    <w:rsid w:val="22426C15"/>
    <w:rsid w:val="22F2507F"/>
    <w:rsid w:val="23A5583A"/>
    <w:rsid w:val="241D233F"/>
    <w:rsid w:val="24DD0347"/>
    <w:rsid w:val="24F13E55"/>
    <w:rsid w:val="252606D9"/>
    <w:rsid w:val="2626008E"/>
    <w:rsid w:val="26312EA6"/>
    <w:rsid w:val="28842D88"/>
    <w:rsid w:val="2FCD296C"/>
    <w:rsid w:val="302F1268"/>
    <w:rsid w:val="32C9476C"/>
    <w:rsid w:val="3B1B088D"/>
    <w:rsid w:val="3B7910AE"/>
    <w:rsid w:val="3C2E4A78"/>
    <w:rsid w:val="3CC37226"/>
    <w:rsid w:val="445A6BD6"/>
    <w:rsid w:val="44A608C4"/>
    <w:rsid w:val="45965586"/>
    <w:rsid w:val="471A45C8"/>
    <w:rsid w:val="474A4575"/>
    <w:rsid w:val="48E32D24"/>
    <w:rsid w:val="49077473"/>
    <w:rsid w:val="4E787D4C"/>
    <w:rsid w:val="553805E7"/>
    <w:rsid w:val="5773313C"/>
    <w:rsid w:val="593757BC"/>
    <w:rsid w:val="5AC17B66"/>
    <w:rsid w:val="5C7F75E3"/>
    <w:rsid w:val="5EF853E9"/>
    <w:rsid w:val="6238157B"/>
    <w:rsid w:val="650E0ADE"/>
    <w:rsid w:val="6F06581E"/>
    <w:rsid w:val="70A22604"/>
    <w:rsid w:val="70D64E7C"/>
    <w:rsid w:val="74D10B51"/>
    <w:rsid w:val="74FC6F38"/>
    <w:rsid w:val="793A6280"/>
    <w:rsid w:val="79E61111"/>
    <w:rsid w:val="79FF1D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Lines="0" w:beforeAutospacing="0" w:afterLines="0" w:afterAutospacing="0" w:line="240" w:lineRule="auto"/>
      <w:jc w:val="center"/>
      <w:outlineLvl w:val="0"/>
    </w:pPr>
    <w:rPr>
      <w:rFonts w:eastAsia="宋体" w:asciiTheme="minorAscii" w:hAnsiTheme="minorAscii"/>
      <w:b/>
      <w:kern w:val="44"/>
      <w:sz w:val="44"/>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First Indent"/>
    <w:unhideWhenUsed/>
    <w:qFormat/>
    <w:uiPriority w:val="99"/>
    <w:pPr>
      <w:widowControl w:val="0"/>
      <w:ind w:firstLine="420" w:firstLineChars="100"/>
      <w:jc w:val="both"/>
    </w:pPr>
    <w:rPr>
      <w:rFonts w:ascii="Calibri" w:hAnsi="Calibri" w:eastAsia="宋体" w:cs="宋体"/>
      <w:kern w:val="0"/>
      <w:sz w:val="20"/>
      <w:szCs w:val="20"/>
      <w:lang w:val="en-US" w:eastAsia="zh-CN" w:bidi="ar-SA"/>
    </w:rPr>
  </w:style>
  <w:style w:type="paragraph" w:styleId="4">
    <w:name w:val="Body Text"/>
    <w:qFormat/>
    <w:uiPriority w:val="1"/>
    <w:pPr>
      <w:widowControl w:val="0"/>
      <w:jc w:val="both"/>
    </w:pPr>
    <w:rPr>
      <w:rFonts w:ascii="宋体" w:hAnsi="宋体" w:eastAsia="宋体" w:cs="宋体"/>
      <w:kern w:val="2"/>
      <w:sz w:val="32"/>
      <w:szCs w:val="32"/>
      <w:lang w:val="en-US" w:eastAsia="zh-CN" w:bidi="ar-SA"/>
    </w:rPr>
  </w:style>
  <w:style w:type="paragraph" w:styleId="5">
    <w:name w:val="footer"/>
    <w:qFormat/>
    <w:uiPriority w:val="0"/>
    <w:pPr>
      <w:widowControl w:val="0"/>
      <w:tabs>
        <w:tab w:val="center" w:pos="4153"/>
        <w:tab w:val="right" w:pos="8306"/>
      </w:tabs>
      <w:snapToGrid w:val="0"/>
      <w:jc w:val="left"/>
    </w:pPr>
    <w:rPr>
      <w:rFonts w:ascii="Times New Roman" w:hAnsi="Times New Roman" w:eastAsia="宋体" w:cs="Times New Roman"/>
      <w:kern w:val="2"/>
      <w:sz w:val="18"/>
      <w:szCs w:val="18"/>
      <w:lang w:val="en-US" w:eastAsia="zh-CN" w:bidi="ar-SA"/>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Normal (Web)"/>
    <w:qFormat/>
    <w:uiPriority w:val="0"/>
    <w:pPr>
      <w:widowControl/>
      <w:spacing w:before="100" w:beforeAutospacing="1" w:after="100" w:afterAutospacing="1"/>
      <w:jc w:val="left"/>
    </w:pPr>
    <w:rPr>
      <w:rFonts w:ascii="宋体" w:hAnsi="宋体" w:eastAsia="宋体" w:cs="宋体"/>
      <w:color w:val="999999"/>
      <w:kern w:val="0"/>
      <w:sz w:val="24"/>
      <w:szCs w:val="24"/>
      <w:lang w:val="en-US" w:eastAsia="zh-CN" w:bidi="ar-SA"/>
    </w:rPr>
  </w:style>
  <w:style w:type="table" w:styleId="10">
    <w:name w:val="Table Gri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qFormat/>
    <w:uiPriority w:val="0"/>
    <w:rPr>
      <w:b/>
    </w:rPr>
  </w:style>
  <w:style w:type="paragraph" w:customStyle="1" w:styleId="13">
    <w:name w:val="大标题一"/>
    <w:basedOn w:val="1"/>
    <w:uiPriority w:val="0"/>
    <w:pPr>
      <w:spacing w:line="308" w:lineRule="auto"/>
      <w:outlineLvl w:val="0"/>
    </w:pPr>
    <w:rPr>
      <w:rFonts w:ascii="Calibri" w:hAnsi="Calibri" w:eastAsia="黑体" w:cs="宋体"/>
      <w:kern w:val="0"/>
      <w:sz w:val="36"/>
    </w:rPr>
  </w:style>
  <w:style w:type="paragraph" w:customStyle="1" w:styleId="14">
    <w:name w:val="样式1"/>
    <w:basedOn w:val="1"/>
    <w:qFormat/>
    <w:uiPriority w:val="0"/>
    <w:pPr>
      <w:jc w:val="center"/>
      <w:outlineLvl w:val="1"/>
    </w:pPr>
    <w:rPr>
      <w:rFonts w:ascii="仿宋" w:hAnsi="仿宋" w:eastAsia="仿宋" w:cs="宋体"/>
      <w:b/>
      <w:kern w:val="0"/>
      <w:sz w:val="28"/>
    </w:rPr>
  </w:style>
  <w:style w:type="paragraph" w:customStyle="1" w:styleId="15">
    <w:name w:val="WPSOffice手动目录 1"/>
    <w:qFormat/>
    <w:uiPriority w:val="0"/>
    <w:pPr>
      <w:ind w:leftChars="0"/>
    </w:pPr>
    <w:rPr>
      <w:rFonts w:ascii="Times New Roman" w:hAnsi="Times New Roman" w:eastAsia="宋体" w:cs="Times New Roman"/>
      <w:sz w:val="20"/>
      <w:szCs w:val="20"/>
    </w:rPr>
  </w:style>
  <w:style w:type="paragraph" w:customStyle="1" w:styleId="16">
    <w:name w:val="WPSOffice手动目录 2"/>
    <w:qFormat/>
    <w:uiPriority w:val="0"/>
    <w:pPr>
      <w:ind w:leftChars="200"/>
    </w:pPr>
    <w:rPr>
      <w:rFonts w:ascii="Times New Roman" w:hAnsi="Times New Roman" w:eastAsia="宋体" w:cs="Times New Roman"/>
      <w:sz w:val="20"/>
      <w:szCs w:val="20"/>
    </w:rPr>
  </w:style>
  <w:style w:type="paragraph" w:customStyle="1" w:styleId="17">
    <w:name w:val="WPSOffice手动目录 3"/>
    <w:qFormat/>
    <w:uiPriority w:val="0"/>
    <w:pPr>
      <w:ind w:leftChars="400"/>
    </w:pPr>
    <w:rPr>
      <w:rFonts w:ascii="Times New Roman" w:hAnsi="Times New Roman" w:eastAsia="宋体" w:cs="Times New Roman"/>
      <w:sz w:val="20"/>
      <w:szCs w:val="20"/>
    </w:rPr>
  </w:style>
  <w:style w:type="character" w:customStyle="1" w:styleId="18">
    <w:name w:val="font11"/>
    <w:basedOn w:val="11"/>
    <w:qFormat/>
    <w:uiPriority w:val="0"/>
    <w:rPr>
      <w:rFonts w:hint="eastAsia" w:ascii="仿宋" w:hAnsi="仿宋" w:eastAsia="仿宋" w:cs="仿宋"/>
      <w:color w:val="000000"/>
      <w:sz w:val="24"/>
      <w:szCs w:val="24"/>
      <w:u w:val="none"/>
    </w:rPr>
  </w:style>
  <w:style w:type="character" w:customStyle="1" w:styleId="19">
    <w:name w:val="font21"/>
    <w:basedOn w:val="11"/>
    <w:qFormat/>
    <w:uiPriority w:val="0"/>
    <w:rPr>
      <w:rFonts w:ascii="Arial" w:hAnsi="Arial" w:cs="Arial"/>
      <w:color w:val="000000"/>
      <w:sz w:val="24"/>
      <w:szCs w:val="24"/>
      <w:u w:val="none"/>
    </w:rPr>
  </w:style>
  <w:style w:type="character" w:customStyle="1" w:styleId="20">
    <w:name w:val="font01"/>
    <w:qFormat/>
    <w:uiPriority w:val="0"/>
    <w:rPr>
      <w:rFonts w:hint="eastAsia" w:ascii="仿宋" w:hAnsi="仿宋" w:eastAsia="仿宋" w:cs="仿宋"/>
      <w:b/>
      <w:bCs/>
      <w:color w:val="000000"/>
      <w:sz w:val="24"/>
      <w:szCs w:val="24"/>
      <w:u w:val="none"/>
    </w:rPr>
  </w:style>
  <w:style w:type="character" w:customStyle="1" w:styleId="21">
    <w:name w:val="font41"/>
    <w:qFormat/>
    <w:uiPriority w:val="0"/>
    <w:rPr>
      <w:rFonts w:hint="default" w:ascii="Arial" w:hAnsi="Arial" w:cs="Arial"/>
      <w:color w:val="000000"/>
      <w:sz w:val="20"/>
      <w:szCs w:val="20"/>
      <w:u w:val="non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207</Pages>
  <Words>99204</Words>
  <Characters>101907</Characters>
  <Lines>0</Lines>
  <Paragraphs>0</Paragraphs>
  <TotalTime>1198</TotalTime>
  <ScaleCrop>false</ScaleCrop>
  <LinksUpToDate>false</LinksUpToDate>
  <CharactersWithSpaces>103533</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2022-06-02T02:07:00Z</dcterms:created>
  <dc:creator>G604</dc:creator>
  <cp:lastModifiedBy>AM</cp:lastModifiedBy>
  <cp:lastPrinted>2022-06-06T08:11:00Z</cp:lastPrinted>
  <dcterms:modified xsi:type="dcterms:W3CDTF">2022-08-06T08:17:46Z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E7BBBB5ED0F941FB86876E07DE85C2A7</vt:lpwstr>
  </property>
</Properties>
</file>