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distribute"/>
        <w:rPr>
          <w:rFonts w:hint="eastAsia" w:ascii="宋体" w:hAnsi="宋体" w:cs="宋体"/>
          <w:b/>
          <w:bCs/>
          <w:color w:val="FF0000"/>
          <w:w w:val="90"/>
          <w:sz w:val="96"/>
          <w:szCs w:val="96"/>
        </w:rPr>
      </w:pPr>
      <w:r>
        <w:rPr>
          <w:rFonts w:hint="eastAsia" w:ascii="宋体" w:hAnsi="宋体" w:cs="宋体"/>
          <w:b/>
          <w:bCs/>
          <w:color w:val="FF0000"/>
          <w:w w:val="90"/>
          <w:sz w:val="96"/>
          <w:szCs w:val="96"/>
        </w:rPr>
        <w:t>福州软件职业技术</w:t>
      </w:r>
      <w:r>
        <w:rPr>
          <w:rFonts w:hint="eastAsia" w:ascii="宋体" w:hAnsi="宋体" w:cs="宋体"/>
          <w:b/>
          <w:bCs/>
          <w:color w:val="FF0000"/>
          <w:w w:val="90"/>
          <w:sz w:val="96"/>
          <w:szCs w:val="96"/>
          <w:lang w:eastAsia="zh-CN"/>
        </w:rPr>
        <w:t>学</w:t>
      </w:r>
      <w:r>
        <w:rPr>
          <w:rFonts w:hint="eastAsia" w:ascii="宋体" w:hAnsi="宋体" w:cs="宋体"/>
          <w:b/>
          <w:bCs/>
          <w:color w:val="FF0000"/>
          <w:w w:val="90"/>
          <w:sz w:val="96"/>
          <w:szCs w:val="96"/>
        </w:rPr>
        <w:t>院</w:t>
      </w:r>
    </w:p>
    <w:p>
      <w:pPr>
        <w:spacing w:line="640" w:lineRule="exact"/>
        <w:jc w:val="center"/>
        <w:rPr>
          <w:rFonts w:ascii="方正小标宋简体" w:eastAsia="方正小标宋简体"/>
          <w:sz w:val="62"/>
        </w:rPr>
      </w:pPr>
      <w:r>
        <w:rPr>
          <w:rFonts w:hint="eastAsia" w:ascii="仿宋_GB2312" w:hAnsi="黑体" w:eastAsia="仿宋_GB2312"/>
          <w:sz w:val="32"/>
          <w:szCs w:val="32"/>
        </w:rPr>
        <w:t>福软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教</w:t>
      </w:r>
      <w:r>
        <w:rPr>
          <w:rFonts w:hint="eastAsia" w:ascii="仿宋_GB2312" w:hAnsi="黑体" w:eastAsia="仿宋_GB2312"/>
          <w:sz w:val="32"/>
          <w:szCs w:val="32"/>
        </w:rPr>
        <w:t>〔</w:t>
      </w:r>
      <w:r>
        <w:rPr>
          <w:rFonts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黑体" w:eastAsia="仿宋_GB2312"/>
          <w:sz w:val="32"/>
          <w:szCs w:val="32"/>
        </w:rPr>
        <w:t>号</w:t>
      </w:r>
    </w:p>
    <w:p>
      <w:pPr>
        <w:rPr>
          <w:rFonts w:hint="default" w:ascii="Calibri" w:hAnsi="Calibri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49530</wp:posOffset>
                </wp:positionV>
                <wp:extent cx="6108065" cy="3810"/>
                <wp:effectExtent l="0" t="19050" r="6985" b="342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21080" y="3747770"/>
                          <a:ext cx="6108065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6pt;margin-top:3.9pt;height:0.3pt;width:480.95pt;z-index:251659264;mso-width-relative:page;mso-height-relative:page;" filled="f" stroked="t" coordsize="21600,21600" o:gfxdata="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qotsdcAAAAHAQAADwAAAAAAAAABACAA&#10;AAAiAAAAZHJzL2Rvd25yZXYueG1sUEsBAhQAFAAAAAgAh07iQLuAqxQOAgAADAQAAA4AAAAAAAAA&#10;AQAgAAAAJgEAAGRycy9lMm9Eb2MueG1sUEsFBgAAAAAGAAYAWQEAAKY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Calibri" w:hAnsi="Calibri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关于做好20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Times New Roman"/>
          <w:b/>
          <w:sz w:val="44"/>
          <w:szCs w:val="44"/>
        </w:rPr>
        <w:t>-202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44"/>
          <w:szCs w:val="44"/>
        </w:rPr>
        <w:t>学年</w:t>
      </w:r>
    </w:p>
    <w:p>
      <w:pPr>
        <w:spacing w:line="560" w:lineRule="exact"/>
        <w:jc w:val="center"/>
        <w:rPr>
          <w:rFonts w:hint="eastAsia" w:ascii="仿宋" w:hAnsi="仿宋" w:eastAsia="仿宋" w:cs="Times New Roman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第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一</w:t>
      </w:r>
      <w:r>
        <w:rPr>
          <w:rFonts w:hint="eastAsia" w:ascii="宋体" w:hAnsi="宋体" w:eastAsia="宋体" w:cs="Times New Roman"/>
          <w:b/>
          <w:sz w:val="44"/>
          <w:szCs w:val="44"/>
        </w:rPr>
        <w:t>学期排课工作的通知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各学院（系、部）、各部（处、室、中心、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馆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为做好20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22-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学年第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学期教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师教学任务安排和课表编排工作，保障教学工作顺利、有序地进行，现将有关事项通知如下：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一、教师教学任务安排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各学院（系、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部）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根据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在校各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年级、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专业人才培养方案，新学期教学执行计划和教师专业特点合理安排教师授课任务，同时根据需要合理引进企业能工巧匠、业务精英参与专业课程授课任务，组织教师备课。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对于新开课、开新课的专、兼职青年教师，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各学院（系、部）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要安排辅导教师，做好备课、教案撰写、教学进度安排等教学任务的指导工作。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请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各学院（系、部）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按照《福州软件职业技术学院教师工作量管理办法（修订）》，安排20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-202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学年第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学期的教师教学任务。教师工作量原则上每周不多于24学时，行政兼课原则上每周不多于4学时。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企业、行业的师资应尽量安排实训、实践类课程。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强化校企共同开发课程，核心课程原则上校企双师教学，来自行业企业一线的兼职教师占比不低于专任教师总数的25%，承担专业课教学任务授课课时占专业课总课时的20%以上。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二、排课工作注意事项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培养方案是制定开课计划的依据。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各学院（系、部）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在制定开课计划之前，请根据最新的培养方案仔细核对开课计划的每一个字段，特殊情况下需要变动，请用红色底纹标注，不得错漏。变动开课计划时由各系部提出，填写《福州软件职业技术学院调整专业培养方案审批表》，报主管院长批准后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教材选用严格按照《福州软件职业技术学院教材建设与管理办法》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〔2018〕41号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有关要求执行，坚持择优选新适用原则，体现职业岗位任职和“三教改革”要求。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选用的教材要符合新时期党和国家的方针、政策要求，符合社会主义核心价值观和国家法律法规要求，深入挖掘课程的思政元素，培育学生爱党爱国情怀，树立高尚道德情操和正确的人生观、价值观、世界观。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意识形态属性较强的教材和涉及国家主权、安全、民族、宗教等内容的教材，实行国家统一编写、统一审核、统一使用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教材；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统一使用马克思主义理论研究和建设工程重点教材，其他课程教材优先在国家公布的目录中选用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请各学院（系、部）和二级院系党总支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加强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教材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新教材选用比例达70%以上，优秀教材达70%以上。除国家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指定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教材外，加强国内外优秀教材比较选用工作，并填写比较情况（根据表格批注提示填写），各系部选用国外优秀教材达到20%。不同专业同一课程请使用统一教材，除自编教材外，优先使用战略合作出版社北京理工大学出版社出版教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选修课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含职业拓展课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是否开设，请各个教研室仔细研究，在确保满足最低要求的情况下，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拟定开课计划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请认真填写安装软件及版本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外聘教师时间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教室要求（多媒体、机房、工作室）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课程承接注意事项等信息。周二下午原则上不排课，不补课。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专业人数较少，相同课程不同专业原则上合班上课，同一专业不同班级应酌情合班。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各学院（系、部）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在安排课程时，凡涉及跨系开课的，请将开课年级、课程及班级人数等有关信息务必及时报送相关授课单位。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涉及跨系部上课的教师，需根据规定填写《福州软件职业技术学院教师跨系授课审核表》审核批复，通过后方可授课。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各学院（系、部）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涉及行政兼课的教师，需根据规定填写《福州软件职业技术学院行政人员兼课审核表》，审核批复，通过后方可授课。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三、材料上报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要求各系部于20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日下午16点前上报以下资料：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教材预定清单纸质版须专业教研室主任、系（部）负责人确认签章（纸质版）后，系秘书以系部为单位收集整理后提交至教务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科研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陈玲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开课计划电子版和纸质版。开课计划回执（纸质版）须各系主任、各教研室主任审批、确认签章后，系秘以系部为单位收集整理后提交至教务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科研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陈玲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教师跨系部授课审核表电子版和纸质版。纸质版需由教师所在系部、开课系部、教务处以及院领导审核批复通过后，由开课系部的系秘以系部为单位收集整理后提交至教务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科研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陈玲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行政人员兼课审核表电子版和纸质版。纸质版需由所在部门领导、开课系部、教务处以及院领导批复通过后，由开课系部的系秘以系部为单位收集整理后提交至教务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科研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陈玲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教材审查表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电子版和纸质版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纸质版需各系主任、各教研室主任审批、确认签章后，系秘以系部为单位收集整理后提交至教务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科研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陈玲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开课计划作为实施学生培养方案的重要工具，是整个教学活动中最重要的组成部分，请各系（部）务必认真对待此项工作，严格根据培养方案录入开课计划，确保开课信息的完整与准确性。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附件：1.《20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级20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-202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学年第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学期开课计划》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4" w:firstLineChars="300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《20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>21级秋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季教材预定表》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4" w:firstLineChars="300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《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福州软件职业技术学院教师跨系授课审核表》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 xml:space="preserve"> 4.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《福州软件职业技术学院行政人员兼课审核表》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 xml:space="preserve">      5.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《福州软件职业技术学院调整专业培养方案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eastAsia="zh-CN"/>
        </w:rPr>
        <w:t>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批表》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 xml:space="preserve">      6.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《福州软件职业技术学院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教材审查表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仿宋_GB2312" w:eastAsia="仿宋_GB2312"/>
          <w:sz w:val="32"/>
          <w:szCs w:val="32"/>
          <w:highlight w:val="none"/>
          <w:lang w:val="en-US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福州软件职业技术学院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教务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科研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二〇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二十八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日</w:t>
      </w:r>
    </w:p>
    <w:tbl>
      <w:tblPr>
        <w:tblStyle w:val="15"/>
        <w:tblpPr w:leftFromText="180" w:rightFromText="180" w:vertAnchor="page" w:horzAnchor="page" w:tblpX="1355" w:tblpY="14497"/>
        <w:tblOverlap w:val="never"/>
        <w:tblW w:w="903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14"/>
        <w:gridCol w:w="421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481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line="580" w:lineRule="exact"/>
              <w:ind w:right="136" w:rightChars="65" w:firstLine="280" w:firstLineChars="100"/>
              <w:rPr>
                <w:rFonts w:hint="default" w:ascii="仿宋_GB2312" w:hAnsi="仿宋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lang w:val="en-US" w:eastAsia="zh-CN"/>
              </w:rPr>
              <w:t>福州软件职业技术学院教务科研处</w:t>
            </w:r>
          </w:p>
        </w:tc>
        <w:tc>
          <w:tcPr>
            <w:tcW w:w="4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580" w:lineRule="exact"/>
              <w:ind w:right="136" w:rightChars="65" w:firstLine="840" w:firstLineChars="300"/>
              <w:jc w:val="center"/>
              <w:textAlignment w:val="bottom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20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年</w:t>
            </w:r>
            <w:r>
              <w:rPr>
                <w:rFonts w:hint="eastAsia" w:ascii="仿宋_GB2312" w:hAnsi="仿宋" w:cs="仿宋_GB2312"/>
                <w:color w:val="auto"/>
                <w:sz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月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lang w:val="en-US" w:eastAsia="zh-CN"/>
              </w:rPr>
              <w:t>28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日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</w:rPr>
              <w:t>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E34376"/>
    <w:rsid w:val="03870314"/>
    <w:rsid w:val="04702B22"/>
    <w:rsid w:val="0B880473"/>
    <w:rsid w:val="0CB561E3"/>
    <w:rsid w:val="0DA73361"/>
    <w:rsid w:val="12A06CFD"/>
    <w:rsid w:val="12EA0778"/>
    <w:rsid w:val="13C53750"/>
    <w:rsid w:val="16EA543D"/>
    <w:rsid w:val="19163285"/>
    <w:rsid w:val="19296F92"/>
    <w:rsid w:val="1EFB15B1"/>
    <w:rsid w:val="1F6B24E8"/>
    <w:rsid w:val="1F8B4827"/>
    <w:rsid w:val="20067030"/>
    <w:rsid w:val="239545EF"/>
    <w:rsid w:val="27FA6A57"/>
    <w:rsid w:val="28922C67"/>
    <w:rsid w:val="28D14C03"/>
    <w:rsid w:val="2CDA764D"/>
    <w:rsid w:val="2E980100"/>
    <w:rsid w:val="2EE33900"/>
    <w:rsid w:val="36107525"/>
    <w:rsid w:val="36E272FB"/>
    <w:rsid w:val="3A925D0B"/>
    <w:rsid w:val="3C19092B"/>
    <w:rsid w:val="3DB879AC"/>
    <w:rsid w:val="407B2DBA"/>
    <w:rsid w:val="422D323D"/>
    <w:rsid w:val="44950B61"/>
    <w:rsid w:val="499B311F"/>
    <w:rsid w:val="4EFC178F"/>
    <w:rsid w:val="504E408C"/>
    <w:rsid w:val="51761186"/>
    <w:rsid w:val="52726D22"/>
    <w:rsid w:val="53C95983"/>
    <w:rsid w:val="5663166A"/>
    <w:rsid w:val="57AB1DE7"/>
    <w:rsid w:val="5FD42510"/>
    <w:rsid w:val="64615B90"/>
    <w:rsid w:val="65A62732"/>
    <w:rsid w:val="66BF1E6E"/>
    <w:rsid w:val="68911881"/>
    <w:rsid w:val="68C36E7D"/>
    <w:rsid w:val="69057965"/>
    <w:rsid w:val="6FE54464"/>
    <w:rsid w:val="73D200E4"/>
    <w:rsid w:val="74B01551"/>
    <w:rsid w:val="75673D79"/>
    <w:rsid w:val="78771DAE"/>
    <w:rsid w:val="7A870B2C"/>
    <w:rsid w:val="7EEC52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iPriority w:val="0"/>
  </w:style>
  <w:style w:type="table" w:default="1" w:styleId="15">
    <w:name w:val="Normal Table"/>
    <w:unhideWhenUsed/>
    <w:uiPriority w:val="99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uiPriority w:val="0"/>
    <w:pPr>
      <w:jc w:val="left"/>
    </w:pPr>
  </w:style>
  <w:style w:type="paragraph" w:styleId="3">
    <w:name w:val="Body Text"/>
    <w:basedOn w:val="1"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Body Text Indent"/>
    <w:basedOn w:val="1"/>
    <w:uiPriority w:val="0"/>
    <w:pPr>
      <w:ind w:firstLine="480" w:firstLineChars="200"/>
    </w:pPr>
    <w:rPr>
      <w:rFonts w:ascii="_x000B__x000C_" w:hAnsi="_x000B__x000C_"/>
      <w:sz w:val="24"/>
      <w:szCs w:val="21"/>
    </w:rPr>
  </w:style>
  <w:style w:type="paragraph" w:styleId="5">
    <w:name w:val="Plain Text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6">
    <w:name w:val="Date"/>
    <w:basedOn w:val="1"/>
    <w:next w:val="1"/>
    <w:uiPriority w:val="0"/>
    <w:pPr>
      <w:ind w:left="100" w:leftChars="2500"/>
    </w:pPr>
    <w:rPr>
      <w:rFonts w:ascii="仿宋_GB2312" w:hAnsi="宋体" w:eastAsia="仿宋_GB2312"/>
      <w:color w:val="000000"/>
      <w:spacing w:val="-6"/>
      <w:kern w:val="0"/>
      <w:sz w:val="32"/>
      <w:szCs w:val="22"/>
    </w:rPr>
  </w:style>
  <w:style w:type="paragraph" w:styleId="7">
    <w:name w:val="Body Text Indent 2"/>
    <w:basedOn w:val="1"/>
    <w:uiPriority w:val="0"/>
    <w:pPr>
      <w:spacing w:line="600" w:lineRule="exact"/>
      <w:ind w:firstLine="600" w:firstLineChars="200"/>
    </w:pPr>
    <w:rPr>
      <w:rFonts w:ascii="仿宋_GB2312" w:eastAsia="仿宋_GB2312"/>
      <w:color w:val="000000"/>
      <w:sz w:val="30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</w:rPr>
  </w:style>
  <w:style w:type="paragraph" w:styleId="1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3">
    <w:name w:val="annotation subject"/>
    <w:basedOn w:val="2"/>
    <w:next w:val="2"/>
    <w:link w:val="22"/>
    <w:uiPriority w:val="0"/>
    <w:rPr>
      <w:b/>
      <w:bCs/>
    </w:rPr>
  </w:style>
  <w:style w:type="paragraph" w:styleId="14">
    <w:name w:val="Body Text First Indent"/>
    <w:basedOn w:val="3"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character" w:styleId="17">
    <w:name w:val="page number"/>
    <w:basedOn w:val="16"/>
    <w:uiPriority w:val="0"/>
  </w:style>
  <w:style w:type="character" w:styleId="18">
    <w:name w:val="Hyperlink"/>
    <w:uiPriority w:val="0"/>
    <w:rPr>
      <w:color w:val="F0F0F0"/>
      <w:sz w:val="22"/>
      <w:szCs w:val="22"/>
      <w:u w:val="none"/>
    </w:rPr>
  </w:style>
  <w:style w:type="character" w:styleId="19">
    <w:name w:val="annotation reference"/>
    <w:uiPriority w:val="0"/>
    <w:rPr>
      <w:sz w:val="21"/>
      <w:szCs w:val="21"/>
    </w:rPr>
  </w:style>
  <w:style w:type="character" w:customStyle="1" w:styleId="20">
    <w:name w:val="批注文字 字符"/>
    <w:link w:val="2"/>
    <w:uiPriority w:val="0"/>
    <w:rPr>
      <w:kern w:val="2"/>
      <w:sz w:val="21"/>
      <w:szCs w:val="24"/>
    </w:rPr>
  </w:style>
  <w:style w:type="character" w:customStyle="1" w:styleId="21">
    <w:name w:val="页脚 字符"/>
    <w:link w:val="9"/>
    <w:uiPriority w:val="99"/>
    <w:rPr>
      <w:kern w:val="2"/>
      <w:sz w:val="18"/>
      <w:szCs w:val="18"/>
    </w:rPr>
  </w:style>
  <w:style w:type="character" w:customStyle="1" w:styleId="22">
    <w:name w:val="批注主题 字符"/>
    <w:link w:val="13"/>
    <w:uiPriority w:val="0"/>
    <w:rPr>
      <w:b/>
      <w:bCs/>
      <w:kern w:val="2"/>
      <w:sz w:val="21"/>
      <w:szCs w:val="24"/>
    </w:rPr>
  </w:style>
  <w:style w:type="character" w:customStyle="1" w:styleId="23">
    <w:name w:val="txt41"/>
    <w:uiPriority w:val="0"/>
    <w:rPr>
      <w:sz w:val="21"/>
      <w:szCs w:val="21"/>
    </w:rPr>
  </w:style>
  <w:style w:type="paragraph" w:customStyle="1" w:styleId="24">
    <w:name w:val="3333"/>
    <w:basedOn w:val="1"/>
    <w:qFormat/>
    <w:uiPriority w:val="99"/>
    <w:pPr>
      <w:ind w:firstLine="482" w:firstLineChars="200"/>
    </w:pPr>
    <w:rPr>
      <w:rFonts w:ascii="仿宋_GB2312" w:hAnsi="Times New Roman" w:eastAsia="仿宋_GB2312" w:cs="仿宋_GB2312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软件学院</Company>
  <Pages>4</Pages>
  <Words>1990</Words>
  <Characters>2057</Characters>
  <Lines>12</Lines>
  <Paragraphs>3</Paragraphs>
  <TotalTime>0</TotalTime>
  <ScaleCrop>false</ScaleCrop>
  <LinksUpToDate>false</LinksUpToDate>
  <CharactersWithSpaces>2105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2017-03-07T02:08:00Z</dcterms:created>
  <dc:creator>王灿辉</dc:creator>
  <cp:lastModifiedBy>薯条他妹</cp:lastModifiedBy>
  <cp:lastPrinted>2022-04-28T03:19:46Z</cp:lastPrinted>
  <dcterms:modified xsi:type="dcterms:W3CDTF">2022-06-09T07:50:05Z</dcterms:modified>
  <dc:title>福软学〔2006〕19号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34D9B819A0A8496C89486E6D24AE883E</vt:lpwstr>
  </property>
</Properties>
</file>