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1405"/>
      <w:bookmarkStart w:id="2" w:name="_Toc25317"/>
    </w:p>
    <w:p>
      <w:pPr>
        <w:pStyle w:val="6"/>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1</w:t>
      </w:r>
      <w:r>
        <w:rPr>
          <w:rFonts w:hint="eastAsia" w:ascii="宋体" w:hAnsi="宋体" w:eastAsia="宋体" w:cs="宋体"/>
          <w:sz w:val="30"/>
          <w:szCs w:val="30"/>
        </w:rPr>
        <w:t>年</w:t>
      </w:r>
      <w:r>
        <w:rPr>
          <w:rFonts w:hint="eastAsia" w:ascii="宋体" w:hAnsi="宋体" w:eastAsia="宋体" w:cs="宋体"/>
          <w:sz w:val="30"/>
          <w:szCs w:val="30"/>
          <w:lang w:val="en-US" w:eastAsia="zh-CN"/>
        </w:rPr>
        <w:t>第8</w:t>
      </w:r>
      <w:r>
        <w:rPr>
          <w:rFonts w:hint="eastAsia" w:ascii="宋体" w:hAnsi="宋体" w:eastAsia="宋体" w:cs="宋体"/>
          <w:sz w:val="30"/>
          <w:szCs w:val="30"/>
        </w:rPr>
        <w:t>期</w:t>
      </w:r>
      <w:bookmarkEnd w:id="1"/>
      <w:bookmarkEnd w:id="2"/>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（总第15期）</w:t>
      </w:r>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6"/>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二〇二一年六月十一日</w:t>
      </w:r>
    </w:p>
    <w:p>
      <w:pPr>
        <w:pStyle w:val="6"/>
        <w:bidi w:val="0"/>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bookmarkStart w:id="3" w:name="_GoBack"/>
      <w:bookmarkEnd w:id="3"/>
    </w:p>
    <w:p>
      <w:pPr>
        <w:keepNext w:val="0"/>
        <w:keepLines w:val="0"/>
        <w:pageBreakBefore w:val="0"/>
        <w:widowControl w:val="0"/>
        <w:tabs>
          <w:tab w:val="left" w:pos="3266"/>
          <w:tab w:val="center" w:pos="4213"/>
        </w:tabs>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color w:val="auto"/>
          <w:sz w:val="24"/>
          <w:szCs w:val="24"/>
          <w:highlight w:val="none"/>
          <w:shd w:val="clear" w:color="auto" w:fill="FFFFFF"/>
          <w:lang w:val="en-US" w:eastAsia="zh-CN"/>
        </w:rPr>
      </w:pPr>
      <w:r>
        <w:rPr>
          <w:rFonts w:hint="eastAsia" w:ascii="仿宋" w:hAnsi="仿宋" w:eastAsia="仿宋" w:cs="仿宋"/>
          <w:b w:val="0"/>
          <w:bCs/>
          <w:color w:val="auto"/>
          <w:sz w:val="24"/>
          <w:szCs w:val="24"/>
          <w:highlight w:val="none"/>
          <w:shd w:val="clear" w:color="auto" w:fill="FFFFFF"/>
          <w:lang w:val="en-US" w:eastAsia="zh-CN"/>
        </w:rPr>
        <w:t>一、2021年5月17日，教育部办公厅印发《高等教育自学考试开考专业清单（2021年）》和《高等教育自学考试专业基本规范（2021年）》。（教职成厅〔2021〕2号），要求各单位遵照执行。</w:t>
      </w:r>
    </w:p>
    <w:p>
      <w:pPr>
        <w:keepNext w:val="0"/>
        <w:keepLines w:val="0"/>
        <w:pageBreakBefore w:val="0"/>
        <w:widowControl w:val="0"/>
        <w:tabs>
          <w:tab w:val="left" w:pos="3266"/>
          <w:tab w:val="center" w:pos="4213"/>
        </w:tabs>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color w:val="auto"/>
          <w:sz w:val="24"/>
          <w:szCs w:val="24"/>
          <w:highlight w:val="none"/>
          <w:shd w:val="clear" w:color="auto" w:fill="FFFFFF"/>
          <w:lang w:val="en-US" w:eastAsia="zh-CN"/>
        </w:rPr>
      </w:pPr>
      <w:r>
        <w:rPr>
          <w:rFonts w:hint="eastAsia" w:ascii="仿宋" w:hAnsi="仿宋" w:eastAsia="仿宋" w:cs="仿宋"/>
          <w:b w:val="0"/>
          <w:bCs/>
          <w:color w:val="auto"/>
          <w:sz w:val="24"/>
          <w:szCs w:val="24"/>
          <w:highlight w:val="none"/>
          <w:shd w:val="clear" w:color="auto" w:fill="FFFFFF"/>
          <w:lang w:val="en-US" w:eastAsia="zh-CN"/>
        </w:rPr>
        <w:t>二、2021年5月21日，教育部办公厅发布《关于推进习近平法治思想纳入高校法治理论教学体系的通知》（教高厅函〔2021〕17号），要求各相关部门深刻认识推进习近平法治思想纳入高校法治理论教学体系的重要意义，将习近平法治思想贯穿法学类专业课程，开好“习近平法治思想概论”专门课程，开展面向全体学生的习近平法治思想学习教育，加强组织实施和宣传推广。</w:t>
      </w:r>
    </w:p>
    <w:p>
      <w:pPr>
        <w:keepNext w:val="0"/>
        <w:keepLines w:val="0"/>
        <w:pageBreakBefore w:val="0"/>
        <w:widowControl w:val="0"/>
        <w:tabs>
          <w:tab w:val="left" w:pos="3266"/>
          <w:tab w:val="center" w:pos="4213"/>
        </w:tabs>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color w:val="auto"/>
          <w:sz w:val="24"/>
          <w:szCs w:val="24"/>
          <w:highlight w:val="none"/>
          <w:shd w:val="clear" w:color="auto" w:fill="FFFFFF"/>
          <w:lang w:val="en-US" w:eastAsia="zh-CN"/>
        </w:rPr>
      </w:pPr>
      <w:r>
        <w:rPr>
          <w:rFonts w:hint="eastAsia" w:ascii="仿宋" w:hAnsi="仿宋" w:eastAsia="仿宋" w:cs="仿宋"/>
          <w:b w:val="0"/>
          <w:bCs/>
          <w:color w:val="auto"/>
          <w:sz w:val="24"/>
          <w:szCs w:val="24"/>
          <w:highlight w:val="none"/>
          <w:shd w:val="clear" w:color="auto" w:fill="FFFFFF"/>
          <w:lang w:val="en-US" w:eastAsia="zh-CN"/>
        </w:rPr>
        <w:t>三、2021年5月27日，教育部办公厅、文化和旅游部办公厅、财政部办公厅发布《关于开展2021年高雅艺术进校园活动的通知》（教体艺厅〔2021〕1号），活动主要内容有（一）艺术院团演出；（二）实施“美育浸润行动计划”；（三）中华优秀传统文化传承基地建设。要求各相关部门遵照以下活动原则：（一）坚持鲜明育人导向；（二）坚持守住安全底线；（三）坚持深化机制创新。各单位要强化责任落实、严格预算管理、突出宣传时效、做好总结反馈。</w:t>
      </w:r>
    </w:p>
    <w:p>
      <w:pPr>
        <w:keepNext w:val="0"/>
        <w:keepLines w:val="0"/>
        <w:pageBreakBefore w:val="0"/>
        <w:widowControl w:val="0"/>
        <w:tabs>
          <w:tab w:val="left" w:pos="3266"/>
          <w:tab w:val="center" w:pos="4213"/>
        </w:tabs>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color w:val="auto"/>
          <w:sz w:val="24"/>
          <w:szCs w:val="24"/>
          <w:highlight w:val="none"/>
          <w:shd w:val="clear" w:color="auto" w:fill="FFFFFF"/>
          <w:lang w:val="en-US" w:eastAsia="zh-CN"/>
        </w:rPr>
      </w:pPr>
      <w:r>
        <w:rPr>
          <w:rFonts w:hint="eastAsia" w:ascii="仿宋" w:hAnsi="仿宋" w:eastAsia="仿宋" w:cs="仿宋"/>
          <w:b w:val="0"/>
          <w:bCs/>
          <w:color w:val="auto"/>
          <w:sz w:val="24"/>
          <w:szCs w:val="24"/>
          <w:highlight w:val="none"/>
          <w:shd w:val="clear" w:color="auto" w:fill="FFFFFF"/>
          <w:lang w:val="en-US" w:eastAsia="zh-CN"/>
        </w:rPr>
        <w:t>四、2021年5月27日，福建省教育厅发布关于做好2021年大学生创新创业训练计划项目申报工作的通知，针对项目立项、项目经费、项目申报做出具体解释和要求，各高校需于2021年6月15日前登陆网络平台完成项目报送（网址：http://180.108.46.32:81/fjs_cxpt/Index.aspx，操作指南及管理账户密码另行通知），填报完成后将申报公函、项目汇总表、立项情况数据统计表（见附件4）各一式1份（含电子文档）报送我厅高教处。</w:t>
      </w:r>
    </w:p>
    <w:p>
      <w:pPr>
        <w:keepNext w:val="0"/>
        <w:keepLines w:val="0"/>
        <w:pageBreakBefore w:val="0"/>
        <w:widowControl w:val="0"/>
        <w:tabs>
          <w:tab w:val="left" w:pos="3266"/>
          <w:tab w:val="center" w:pos="4213"/>
        </w:tabs>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color w:val="auto"/>
          <w:sz w:val="24"/>
          <w:szCs w:val="24"/>
          <w:highlight w:val="none"/>
          <w:shd w:val="clear" w:color="auto" w:fill="FFFFFF"/>
          <w:lang w:val="en-US" w:eastAsia="zh-CN"/>
        </w:rPr>
      </w:pPr>
      <w:r>
        <w:rPr>
          <w:rFonts w:hint="eastAsia" w:ascii="仿宋" w:hAnsi="仿宋" w:eastAsia="仿宋" w:cs="仿宋"/>
          <w:b w:val="0"/>
          <w:bCs/>
          <w:color w:val="auto"/>
          <w:sz w:val="24"/>
          <w:szCs w:val="24"/>
          <w:highlight w:val="none"/>
          <w:shd w:val="clear" w:color="auto" w:fill="FFFFFF"/>
          <w:lang w:val="en-US" w:eastAsia="zh-CN"/>
        </w:rPr>
        <w:t>五、2021年6月1日，福建省教育厅发布《关于福建省高水平职业院校和专业建设计划拟立项建设单位名单的公示》，共公示立项建设高水平高职院校12所，国家“双高计划”建设单位立项建设专业群10个，其他院校立项建设专业群24个，立项建设高水平中职学校36所，立项建设高水平中职专业群108个。其中，福州软件职业技术学院虚拟现实应用技术入选A类建设专业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DAzOGM1MWQ3OGVkOGMyMmRhMzVhY2RjNjMyYjkifQ=="/>
  </w:docVars>
  <w:rsids>
    <w:rsidRoot w:val="762454FE"/>
    <w:rsid w:val="18F9042D"/>
    <w:rsid w:val="19D714DF"/>
    <w:rsid w:val="76245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6">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2022-05-05T11:03:00Z</dcterms:created>
  <dc:creator>云淡风轻</dc:creator>
  <cp:lastModifiedBy>G604</cp:lastModifiedBy>
  <dcterms:modified xsi:type="dcterms:W3CDTF">2022-05-08T01:00:36Z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4D1E7BC504A140B6B46AB8167C7EE79A</vt:lpwstr>
  </property>
</Properties>
</file>