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宋体" w:hAnsi="宋体" w:cs="宋体"/>
          <w:b/>
          <w:bCs/>
          <w:color w:val="FF0000"/>
          <w:w w:val="90"/>
          <w:sz w:val="96"/>
          <w:szCs w:val="96"/>
        </w:rPr>
      </w:pPr>
      <w:r>
        <w:rPr>
          <w:rFonts w:hint="eastAsia" w:ascii="宋体" w:hAnsi="宋体" w:cs="宋体"/>
          <w:b/>
          <w:bCs/>
          <w:color w:val="FF0000"/>
          <w:w w:val="90"/>
          <w:sz w:val="96"/>
          <w:szCs w:val="96"/>
        </w:rPr>
        <w:t>福州软件职业技术</w:t>
      </w:r>
      <w:r>
        <w:rPr>
          <w:rFonts w:hint="eastAsia" w:ascii="宋体" w:hAnsi="宋体" w:cs="宋体"/>
          <w:b/>
          <w:bCs/>
          <w:color w:val="FF0000"/>
          <w:w w:val="90"/>
          <w:sz w:val="96"/>
          <w:szCs w:val="96"/>
          <w:lang w:eastAsia="zh-CN"/>
        </w:rPr>
        <w:t>学</w:t>
      </w:r>
      <w:r>
        <w:rPr>
          <w:rFonts w:hint="eastAsia" w:ascii="宋体" w:hAnsi="宋体" w:cs="宋体"/>
          <w:b/>
          <w:bCs/>
          <w:color w:val="FF0000"/>
          <w:w w:val="90"/>
          <w:sz w:val="96"/>
          <w:szCs w:val="96"/>
        </w:rPr>
        <w:t>院</w:t>
      </w:r>
    </w:p>
    <w:p>
      <w:pPr>
        <w:spacing w:line="640" w:lineRule="exact"/>
        <w:jc w:val="center"/>
        <w:rPr>
          <w:rFonts w:ascii="方正小标宋简体" w:eastAsia="方正小标宋简体"/>
          <w:sz w:val="62"/>
        </w:rPr>
      </w:pPr>
      <w:r>
        <w:rPr>
          <w:rFonts w:hint="eastAsia" w:ascii="仿宋_GB2312" w:hAnsi="黑体" w:eastAsia="仿宋_GB2312"/>
          <w:sz w:val="32"/>
          <w:szCs w:val="32"/>
        </w:rPr>
        <w:t>福软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教</w:t>
      </w:r>
      <w:r>
        <w:rPr>
          <w:rFonts w:hint="eastAsia" w:ascii="仿宋_GB2312" w:hAnsi="黑体" w:eastAsia="仿宋_GB2312"/>
          <w:sz w:val="32"/>
          <w:szCs w:val="32"/>
        </w:rPr>
        <w:t>〔</w:t>
      </w:r>
      <w:r>
        <w:rPr>
          <w:rFonts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〕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黑体" w:eastAsia="仿宋_GB2312"/>
          <w:sz w:val="32"/>
          <w:szCs w:val="32"/>
        </w:rPr>
        <w:t>号</w:t>
      </w:r>
    </w:p>
    <w:p>
      <w:pPr>
        <w:rPr>
          <w:rFonts w:hint="eastAsia" w:ascii="宋体" w:hAnsi="宋体" w:eastAsia="宋体" w:cs="Times New Roman"/>
          <w:b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shd w:val="clear" w:color="auto" w:fill="FFFFFF"/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49530</wp:posOffset>
                </wp:positionV>
                <wp:extent cx="6108065" cy="3810"/>
                <wp:effectExtent l="0" t="19050" r="6985" b="342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21080" y="3747770"/>
                          <a:ext cx="6108065" cy="381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6pt;margin-top:3.9pt;height:0.3pt;width:480.95pt;z-index:251659264;mso-width-relative:page;mso-height-relative:page;" filled="f" stroked="t" coordsize="21600,21600" o:gfxdata="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qotsdcAAAAHAQAADwAAAAAAAAABACAA&#10;AAAiAAAAZHJzL2Rvd25yZXYueG1sUEsBAhQAFAAAAAgAh07iQLuAqxQOAgAADAQAAA4AAAAAAAAA&#10;AQAgAAAAJgEAAGRycy9lMm9Eb2MueG1sUEsFBgAAAAAGAAYAWQEAAKY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left="-210" w:leftChars="-100" w:right="-210" w:rightChars="-100"/>
        <w:jc w:val="center"/>
        <w:rPr>
          <w:rFonts w:hint="eastAsia"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关于福州软件职</w:t>
      </w:r>
      <w:bookmarkStart w:id="0" w:name="_GoBack"/>
      <w:bookmarkEnd w:id="0"/>
      <w:r>
        <w:rPr>
          <w:rFonts w:hint="eastAsia" w:ascii="宋体" w:hAnsi="宋体" w:eastAsia="宋体" w:cs="Times New Roman"/>
          <w:b/>
          <w:sz w:val="44"/>
          <w:szCs w:val="44"/>
        </w:rPr>
        <w:t>业技术学院</w:t>
      </w:r>
    </w:p>
    <w:p>
      <w:pPr>
        <w:ind w:left="-210" w:leftChars="-100" w:right="-210" w:rightChars="-100"/>
        <w:jc w:val="center"/>
        <w:rPr>
          <w:rFonts w:hint="eastAsia"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全面实行线上教学的通知</w:t>
      </w:r>
    </w:p>
    <w:p>
      <w:pPr>
        <w:spacing w:line="560" w:lineRule="exact"/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各学院（系、部）、各部（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处、室、中心、馆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）：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结合目前福州市疫情防控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形势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，经研究决定，3月22日起全面实行线上教学，暂定风险地区毕业班学生岗位实习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等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办理手续实行线上审批，并对线上教学工作提出如下要求。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一、有效组织线上教学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要按照“因地制宜、精准施策”的原则，“一课一策”实施教学，根据疫情防控形势科学研判选择适当的教学模式，灵活安排理论与实践教学活动。要根据不同教学内容做好教学统筹安排，明确线上教学任务要求。提前建好课程教学班级群，一律采取“直播+”教学和课堂管理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二、合理运用教育资源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要按照实用、适用的原则遴选使用教学资源，充分利用智慧职教和福软通课程资源，减轻学生负担，积极开展在线互动交流答疑，提高学生自主学习能力。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三、关心学生身心健康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加强课程教学过程和内容设计，融入课程思政元素，关注学生心理健康发展，注重学生职业素养和工匠精神养成。引导学生科学防疫，养成良好生活学习习惯，线上心理辅导等服务，做好受疫情影响学生和毕业班学生学习生活保障和服务工作，强化心理疏导和健康教育，加强重点人员的人文关怀，营造校园疫情防控良好氛围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四、严格开展质量监控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教学质量监控与评价中心、教务科研处和二级教学单位要分类开展质量监控，严把质量关。线上教学质量监控办法按照《福州软件职业技术学院教师线上教学质量评价办法》执行。要求教师根据教学质量监控与评价中心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规定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提前一天填写线上教学平台网址，并在教务平台做好线上教学工作日志，授课过程应截图留档，至少选取一张截图填报在当日课程教案中的“教学反思”一栏，上传至教务平台，教学质量监控与评价中心予以检查。</w:t>
      </w:r>
    </w:p>
    <w:p>
      <w:pPr>
        <w:widowControl/>
        <w:spacing w:line="360" w:lineRule="auto"/>
        <w:ind w:right="1680" w:rightChars="800" w:firstLine="640" w:firstLineChars="200"/>
        <w:jc w:val="righ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</w:p>
    <w:p>
      <w:pPr>
        <w:widowControl/>
        <w:spacing w:line="360" w:lineRule="auto"/>
        <w:ind w:right="1680" w:rightChars="800" w:firstLine="640" w:firstLineChars="200"/>
        <w:jc w:val="righ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福州软件职业技术学院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教务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科研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处</w:t>
      </w:r>
    </w:p>
    <w:p>
      <w:pPr>
        <w:widowControl/>
        <w:spacing w:line="360" w:lineRule="auto"/>
        <w:ind w:right="1680" w:rightChars="800" w:firstLine="640" w:firstLineChars="200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二〇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二二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二十二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p>
      <w:pPr>
        <w:widowControl/>
        <w:spacing w:line="360" w:lineRule="auto"/>
        <w:ind w:right="1680" w:rightChars="800" w:firstLine="640" w:firstLineChars="200"/>
        <w:jc w:val="righ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360" w:lineRule="auto"/>
        <w:ind w:right="1680" w:rightChars="800"/>
        <w:jc w:val="both"/>
        <w:rPr>
          <w:rFonts w:ascii="仿宋" w:hAnsi="仿宋" w:eastAsia="仿宋" w:cs="宋体"/>
          <w:kern w:val="0"/>
          <w:sz w:val="32"/>
          <w:szCs w:val="32"/>
        </w:rPr>
      </w:pPr>
    </w:p>
    <w:tbl>
      <w:tblPr>
        <w:tblStyle w:val="5"/>
        <w:tblpPr w:leftFromText="180" w:rightFromText="180" w:vertAnchor="page" w:horzAnchor="page" w:tblpX="1355" w:tblpY="14497"/>
        <w:tblOverlap w:val="never"/>
        <w:tblW w:w="903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14"/>
        <w:gridCol w:w="421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481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line="580" w:lineRule="exact"/>
              <w:ind w:right="136" w:rightChars="65" w:firstLine="280" w:firstLineChars="100"/>
              <w:rPr>
                <w:rFonts w:hint="default" w:ascii="仿宋_GB2312" w:hAnsi="仿宋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lang w:val="en-US" w:eastAsia="zh-CN"/>
              </w:rPr>
              <w:t>福州软件职业技术学院教务科研处</w:t>
            </w:r>
          </w:p>
        </w:tc>
        <w:tc>
          <w:tcPr>
            <w:tcW w:w="4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 w:line="580" w:lineRule="exact"/>
              <w:ind w:right="136" w:rightChars="65" w:firstLine="840" w:firstLineChars="300"/>
              <w:jc w:val="center"/>
              <w:textAlignment w:val="bottom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</w:rPr>
              <w:t>20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lang w:val="en-US" w:eastAsia="zh-CN"/>
              </w:rPr>
              <w:t>22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</w:rPr>
              <w:t>年</w:t>
            </w:r>
            <w:r>
              <w:rPr>
                <w:rFonts w:hint="eastAsia" w:ascii="仿宋_GB2312" w:hAnsi="仿宋" w:cs="仿宋_GB2312"/>
                <w:color w:val="auto"/>
                <w:sz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</w:rPr>
              <w:t>月</w:t>
            </w:r>
            <w:r>
              <w:rPr>
                <w:rFonts w:hint="eastAsia" w:ascii="仿宋_GB2312" w:hAnsi="仿宋" w:cs="仿宋_GB2312"/>
                <w:color w:val="auto"/>
                <w:sz w:val="28"/>
                <w:lang w:val="en-US" w:eastAsia="zh-CN"/>
              </w:rPr>
              <w:t>22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</w:rPr>
              <w:t>日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</w:rPr>
              <w:t>印</w:t>
            </w:r>
          </w:p>
        </w:tc>
      </w:tr>
    </w:tbl>
    <w:p>
      <w:pPr>
        <w:widowControl/>
        <w:spacing w:line="360" w:lineRule="auto"/>
        <w:ind w:right="1680" w:rightChars="800"/>
        <w:jc w:val="both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320" w:lineRule="atLeas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 xml:space="preserve">     </w:t>
      </w:r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85"/>
    <w:rsid w:val="00000185"/>
    <w:rsid w:val="001A4D14"/>
    <w:rsid w:val="00251C13"/>
    <w:rsid w:val="002A3166"/>
    <w:rsid w:val="004111D9"/>
    <w:rsid w:val="004324D3"/>
    <w:rsid w:val="00746F88"/>
    <w:rsid w:val="008D1E38"/>
    <w:rsid w:val="00A9435F"/>
    <w:rsid w:val="00DE410C"/>
    <w:rsid w:val="05E4505A"/>
    <w:rsid w:val="0FCC74D7"/>
    <w:rsid w:val="3E1C4788"/>
    <w:rsid w:val="55C0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8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next w:val="1"/>
    <w:link w:val="7"/>
    <w:semiHidden/>
    <w:unhideWhenUsed/>
    <w:uiPriority w:val="99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正文文本 字符"/>
    <w:basedOn w:val="6"/>
    <w:link w:val="3"/>
    <w:semiHidden/>
    <w:uiPriority w:val="99"/>
  </w:style>
  <w:style w:type="character" w:customStyle="1" w:styleId="8">
    <w:name w:val="正文文本首行缩进 字符"/>
    <w:basedOn w:val="7"/>
    <w:link w:val="2"/>
    <w:semiHidden/>
    <w:uiPriority w:val="99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754</Words>
  <Characters>762</Characters>
  <Lines>5</Lines>
  <Paragraphs>1</Paragraphs>
  <TotalTime>9</TotalTime>
  <ScaleCrop>false</ScaleCrop>
  <LinksUpToDate>false</LinksUpToDate>
  <CharactersWithSpaces>791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2022-03-22T00:07:00Z</dcterms:created>
  <dc:creator>lin ts</dc:creator>
  <cp:lastModifiedBy>HP</cp:lastModifiedBy>
  <dcterms:modified xsi:type="dcterms:W3CDTF">2022-03-22T01:26:15Z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9F33E9899CEA463B83B679F963E7379C</vt:lpwstr>
  </property>
</Properties>
</file>