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2068"/>
        <w:tblOverlap w:val="never"/>
        <w:tblW w:w="0" w:type="auto"/>
        <w:jc w:val="center"/>
        <w:tblLayout w:type="fixed"/>
        <w:tblCellMar>
          <w:top w:w="0" w:type="dxa"/>
          <w:left w:w="28" w:type="dxa"/>
          <w:bottom w:w="0" w:type="dxa"/>
          <w:right w:w="28" w:type="dxa"/>
        </w:tblCellMar>
      </w:tblPr>
      <w:tblGrid>
        <w:gridCol w:w="8844"/>
      </w:tblGrid>
      <w:tr>
        <w:tblPrEx>
          <w:tblCellMar>
            <w:top w:w="0" w:type="dxa"/>
            <w:left w:w="28" w:type="dxa"/>
            <w:bottom w:w="0" w:type="dxa"/>
            <w:right w:w="28" w:type="dxa"/>
          </w:tblCellMar>
        </w:tblPrEx>
        <w:trPr>
          <w:trHeight w:val="1310"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20" w:leftChars="100" w:right="320" w:rightChars="100"/>
              <w:jc w:val="distribute"/>
              <w:textAlignment w:val="bottom"/>
              <w:rPr>
                <w:rFonts w:hint="eastAsia" w:ascii="方正小标宋简体" w:eastAsia="方正小标宋简体"/>
                <w:color w:val="FF0000"/>
                <w:w w:val="80"/>
                <w:sz w:val="10"/>
                <w:szCs w:val="10"/>
              </w:rPr>
            </w:pPr>
          </w:p>
        </w:tc>
      </w:tr>
      <w:tr>
        <w:tblPrEx>
          <w:tblCellMar>
            <w:top w:w="0" w:type="dxa"/>
            <w:left w:w="28" w:type="dxa"/>
            <w:bottom w:w="0" w:type="dxa"/>
            <w:right w:w="28" w:type="dxa"/>
          </w:tblCellMar>
        </w:tblPrEx>
        <w:trPr>
          <w:trHeight w:val="2856"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20" w:leftChars="100" w:right="320" w:rightChars="100"/>
              <w:jc w:val="distribute"/>
              <w:textAlignment w:val="bottom"/>
              <w:rPr>
                <w:rFonts w:hint="eastAsia" w:ascii="方正小标宋简体" w:eastAsia="方正小标宋简体"/>
                <w:color w:val="FF0000"/>
                <w:w w:val="80"/>
                <w:sz w:val="112"/>
                <w:szCs w:val="112"/>
              </w:rPr>
            </w:pPr>
            <w:bookmarkStart w:id="0" w:name="RedHead"/>
            <w:r>
              <w:rPr>
                <w:rFonts w:hint="eastAsia" w:ascii="方正小标宋简体" w:eastAsia="方正小标宋简体"/>
                <w:color w:val="FF0000"/>
                <w:w w:val="80"/>
                <w:sz w:val="112"/>
                <w:szCs w:val="112"/>
              </w:rPr>
              <w:t>福建省教育厅文件</w:t>
            </w:r>
            <w:bookmarkEnd w:id="0"/>
          </w:p>
        </w:tc>
      </w:tr>
      <w:tr>
        <w:tblPrEx>
          <w:tblCellMar>
            <w:top w:w="0" w:type="dxa"/>
            <w:left w:w="28" w:type="dxa"/>
            <w:bottom w:w="0" w:type="dxa"/>
            <w:right w:w="28" w:type="dxa"/>
          </w:tblCellMar>
        </w:tblPrEx>
        <w:trPr>
          <w:trHeight w:val="680" w:hRule="atLeast"/>
          <w:jc w:val="center"/>
        </w:trPr>
        <w:tc>
          <w:tcPr>
            <w:tcW w:w="8844" w:type="dxa"/>
            <w:noWrap w:val="0"/>
            <w:vAlign w:val="bottom"/>
          </w:tcPr>
          <w:p>
            <w:pPr>
              <w:keepNext w:val="0"/>
              <w:keepLines w:val="0"/>
              <w:pageBreakBefore w:val="0"/>
              <w:widowControl w:val="0"/>
              <w:tabs>
                <w:tab w:val="left" w:pos="1095"/>
              </w:tabs>
              <w:kinsoku/>
              <w:wordWrap/>
              <w:overflowPunct/>
              <w:topLinePunct w:val="0"/>
              <w:autoSpaceDE/>
              <w:autoSpaceDN/>
              <w:bidi w:val="0"/>
              <w:adjustRightInd w:val="0"/>
              <w:snapToGrid w:val="0"/>
              <w:spacing w:before="120" w:line="240" w:lineRule="auto"/>
              <w:ind w:right="0" w:firstLine="0" w:firstLineChars="0"/>
              <w:jc w:val="center"/>
              <w:textAlignment w:val="bottom"/>
              <w:rPr>
                <w:rFonts w:hint="eastAsia" w:ascii="仿宋_GB2312" w:hAnsi="仿宋" w:eastAsia="仿宋_GB2312"/>
                <w:lang w:val="en-US" w:eastAsia="zh-CN"/>
              </w:rPr>
            </w:pPr>
            <w:bookmarkStart w:id="1" w:name="REPE_dispatchnumber"/>
            <w:r>
              <w:rPr>
                <w:rFonts w:hint="eastAsia" w:ascii="仿宋_GB2312" w:hAnsi="仿宋_GB2312" w:eastAsia="仿宋_GB2312" w:cs="仿宋_GB2312"/>
                <w:lang w:val="en-US" w:eastAsia="zh-CN"/>
              </w:rPr>
              <w:t>文号</w:t>
            </w:r>
            <w:bookmarkEnd w:id="1"/>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bookmarkStart w:id="18" w:name="_GoBack"/>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4500245</wp:posOffset>
                </wp:positionV>
                <wp:extent cx="5615940" cy="10160"/>
                <wp:effectExtent l="0" t="19050" r="7620" b="31750"/>
                <wp:wrapTight wrapText="bothSides">
                  <wp:wrapPolygon>
                    <wp:start x="0" y="-40500"/>
                    <wp:lineTo x="0" y="27000"/>
                    <wp:lineTo x="21571" y="27000"/>
                    <wp:lineTo x="21571" y="-40500"/>
                    <wp:lineTo x="0" y="-40500"/>
                  </wp:wrapPolygon>
                </wp:wrapTight>
                <wp:docPr id="3" name="直接连接符 3"/>
                <wp:cNvGraphicFramePr/>
                <a:graphic xmlns:a="http://schemas.openxmlformats.org/drawingml/2006/main">
                  <a:graphicData uri="http://schemas.microsoft.com/office/word/2010/wordprocessingShape">
                    <wps:wsp>
                      <wps:cNvSpPr/>
                      <wps:spPr>
                        <a:xfrm>
                          <a:off x="0" y="0"/>
                          <a:ext cx="561594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54.35pt;height:0.8pt;width:442.2pt;mso-position-horizontal:center;mso-position-horizontal-relative:page;mso-position-vertical-relative:page;mso-wrap-distance-left:9pt;mso-wrap-distance-right:9pt;z-index:-251657216;mso-width-relative:page;mso-height-relative:page;" filled="f" stroked="t" coordsize="21600,21600" wrapcoords="0 -40500 0 27000 21571 27000 21571 -40500 0 -40500" o:gfxdata="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htfbNsAAAAIAQAADwAAAAAAAAABACAAAAAiAAAAZHJzL2Rvd25y&#10;ZXYueG1sUEsBAhQAFAAAAAgAh07iQBvJSrT7AQAA6QMAAA4AAAAAAAAAAQAgAAAAKgEAAGRycy9l&#10;Mm9Eb2MueG1sUEsFBgAAAAAGAAYAWQEAAJcFAAAAAA==&#10;">
                <v:path arrowok="t"/>
                <v:fill on="f" focussize="0,0"/>
                <v:stroke weight="3pt" color="#FF0000"/>
                <v:imagedata o:title=""/>
                <o:lock v:ext="edit" aspectratio="f"/>
                <w10:wrap type="tight"/>
              </v:line>
            </w:pict>
          </mc:Fallback>
        </mc:AlternateContent>
      </w:r>
      <w:bookmarkEnd w:id="18"/>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Cs/>
          <w:sz w:val="44"/>
          <w:szCs w:val="44"/>
          <w:lang w:eastAsia="zh-CN"/>
        </w:rPr>
      </w:pPr>
      <w:bookmarkStart w:id="2" w:name="dispatchname"/>
      <w:r>
        <w:rPr>
          <w:rFonts w:hint="eastAsia" w:ascii="方正小标宋简体" w:hAnsi="方正小标宋简体" w:eastAsia="方正小标宋简体" w:cs="方正小标宋简体"/>
          <w:bCs/>
          <w:sz w:val="44"/>
          <w:szCs w:val="44"/>
          <w:lang w:eastAsia="zh-CN"/>
        </w:rPr>
        <w:t>福建省教育厅关于举办2022年福建省职业</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院校技能大赛教学能力比赛的通知</w:t>
      </w:r>
      <w:bookmarkEnd w:id="2"/>
      <w:r>
        <w:rPr>
          <w:rFonts w:hint="eastAsia" w:ascii="方正小标宋简体" w:hAnsi="方正小标宋简体" w:eastAsia="方正小标宋简体" w:cs="方正小标宋简体"/>
          <w:bCs/>
          <w:sz w:val="44"/>
          <w:szCs w:val="44"/>
        </w:rPr>
        <w:t xml:space="preserve"> </w:t>
      </w:r>
    </w:p>
    <w:p>
      <w:pPr>
        <w:spacing w:line="590" w:lineRule="exact"/>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bookmarkStart w:id="3" w:name="maindelivery"/>
      <w:r>
        <w:rPr>
          <w:rFonts w:hint="eastAsia" w:ascii="仿宋_GB2312" w:hAnsi="仿宋_GB2312" w:eastAsia="仿宋_GB2312" w:cs="仿宋_GB2312"/>
          <w:sz w:val="32"/>
          <w:szCs w:val="32"/>
          <w:lang w:eastAsia="zh-CN"/>
        </w:rPr>
        <w:t>各设区市教育局、平潭综合实验区社会事业局，有关本科高校，各高职院校、省属中等职业学校</w:t>
      </w:r>
      <w:bookmarkEnd w:id="3"/>
      <w:r>
        <w:rPr>
          <w:rFonts w:hint="eastAsia" w:ascii="仿宋_GB2312" w:hAnsi="仿宋_GB2312" w:eastAsia="仿宋_GB2312" w:cs="仿宋_GB2312"/>
          <w:sz w:val="32"/>
          <w:szCs w:val="32"/>
          <w:lang w:eastAsia="zh-CN"/>
        </w:rPr>
        <w:t>：</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bookmarkStart w:id="4" w:name="MainBody"/>
      <w:r>
        <w:rPr>
          <w:rFonts w:hint="eastAsia" w:ascii="仿宋_GB2312" w:hAnsi="仿宋" w:eastAsia="仿宋_GB2312"/>
          <w:color w:val="auto"/>
          <w:sz w:val="32"/>
          <w:szCs w:val="32"/>
        </w:rPr>
        <w:t>为贯彻落实《关于推动现代职业教育高质量发展的意见》《国家职业教育改革实施方案》和《福建省职业教育改革工作方案》，</w:t>
      </w:r>
      <w:r>
        <w:rPr>
          <w:rFonts w:hint="eastAsia" w:ascii="仿宋_GB2312" w:hAnsi="仿宋" w:eastAsia="仿宋_GB2312"/>
          <w:bCs/>
          <w:color w:val="auto"/>
          <w:sz w:val="32"/>
          <w:szCs w:val="32"/>
        </w:rPr>
        <w:t>深化“三教”改革，推进产教深度融合、校企协同育人，促进教师教育教学能力、综合素质、专业化水平和创新能力全面提升，引导学校师生更好适应疫情防控常态化条件下，线上线下混合式教学的需要，确保人才培养质量稳步提高，决定</w:t>
      </w:r>
      <w:r>
        <w:rPr>
          <w:rFonts w:ascii="仿宋_GB2312" w:hAnsi="仿宋" w:eastAsia="仿宋_GB2312"/>
          <w:color w:val="auto"/>
          <w:sz w:val="32"/>
          <w:szCs w:val="32"/>
        </w:rPr>
        <w:t>举办</w:t>
      </w:r>
      <w:r>
        <w:rPr>
          <w:rFonts w:hint="eastAsia" w:ascii="仿宋_GB2312" w:hAnsi="仿宋" w:eastAsia="仿宋_GB2312"/>
          <w:color w:val="auto"/>
          <w:sz w:val="32"/>
          <w:szCs w:val="32"/>
        </w:rPr>
        <w:t>20</w:t>
      </w:r>
      <w:r>
        <w:rPr>
          <w:rFonts w:ascii="仿宋_GB2312" w:hAnsi="仿宋" w:eastAsia="仿宋_GB2312"/>
          <w:color w:val="auto"/>
          <w:sz w:val="32"/>
          <w:szCs w:val="32"/>
        </w:rPr>
        <w:t>2</w:t>
      </w:r>
      <w:r>
        <w:rPr>
          <w:rFonts w:hint="eastAsia" w:ascii="仿宋_GB2312" w:hAnsi="仿宋" w:eastAsia="仿宋_GB2312"/>
          <w:color w:val="auto"/>
          <w:sz w:val="32"/>
          <w:szCs w:val="32"/>
        </w:rPr>
        <w:t>2年福建省职业院校技能大赛教学能力比赛（原</w:t>
      </w:r>
      <w:r>
        <w:rPr>
          <w:rFonts w:hint="eastAsia" w:ascii="仿宋_GB2312" w:eastAsia="仿宋_GB2312"/>
          <w:color w:val="auto"/>
          <w:sz w:val="32"/>
        </w:rPr>
        <w:t>福建省职业院校教师教学能力比赛</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现将有关事项通知如下：</w:t>
      </w:r>
    </w:p>
    <w:p>
      <w:pPr>
        <w:pageBreakBefore w:val="0"/>
        <w:widowControl w:val="0"/>
        <w:wordWrap/>
        <w:overflowPunct w:val="0"/>
        <w:topLinePunct w:val="0"/>
        <w:bidi w:val="0"/>
        <w:spacing w:line="580" w:lineRule="exact"/>
        <w:ind w:firstLine="640" w:firstLineChars="200"/>
        <w:textAlignment w:val="auto"/>
        <w:outlineLvl w:val="0"/>
        <w:rPr>
          <w:rFonts w:ascii="黑体" w:hAnsi="黑体" w:eastAsia="黑体"/>
          <w:color w:val="auto"/>
          <w:sz w:val="32"/>
        </w:rPr>
      </w:pPr>
      <w:r>
        <w:rPr>
          <w:rFonts w:hint="eastAsia" w:ascii="黑体" w:hAnsi="黑体" w:eastAsia="黑体"/>
          <w:color w:val="auto"/>
          <w:sz w:val="32"/>
        </w:rPr>
        <w:t>一、比赛要求</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hint="eastAsia" w:ascii="仿宋_GB2312" w:eastAsia="仿宋_GB2312"/>
          <w:color w:val="auto"/>
          <w:sz w:val="32"/>
        </w:rPr>
        <w:t>重点考察教学团队（</w:t>
      </w:r>
      <w:r>
        <w:rPr>
          <w:rFonts w:ascii="仿宋_GB2312" w:eastAsia="仿宋_GB2312"/>
          <w:color w:val="auto"/>
          <w:sz w:val="32"/>
        </w:rPr>
        <w:t>2</w:t>
      </w:r>
      <w:r>
        <w:rPr>
          <w:rFonts w:hint="eastAsia" w:ascii="仿宋_GB2312" w:eastAsia="仿宋_GB2312"/>
          <w:color w:val="auto"/>
          <w:sz w:val="32"/>
          <w:lang w:eastAsia="zh-CN"/>
        </w:rPr>
        <w:t>—</w:t>
      </w:r>
      <w:r>
        <w:rPr>
          <w:rFonts w:ascii="仿宋_GB2312" w:eastAsia="仿宋_GB2312"/>
          <w:color w:val="auto"/>
          <w:sz w:val="32"/>
        </w:rPr>
        <w:t>4</w:t>
      </w:r>
      <w:r>
        <w:rPr>
          <w:rFonts w:hint="eastAsia" w:ascii="仿宋_GB2312" w:eastAsia="仿宋_GB2312"/>
          <w:color w:val="auto"/>
          <w:sz w:val="32"/>
        </w:rPr>
        <w:t>人）针对某门课程中部分教学内容完成教学设计、实施课堂教学、达成评价目标、进行反思改进的能力。</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ascii="仿宋_GB2312" w:eastAsia="仿宋_GB2312"/>
          <w:color w:val="auto"/>
          <w:sz w:val="32"/>
        </w:rPr>
        <w:t>1.</w:t>
      </w:r>
      <w:r>
        <w:rPr>
          <w:rFonts w:hint="eastAsia" w:ascii="仿宋_GB2312" w:eastAsia="仿宋_GB2312"/>
          <w:color w:val="auto"/>
          <w:sz w:val="32"/>
        </w:rPr>
        <w:t>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ascii="仿宋_GB2312" w:eastAsia="仿宋_GB2312"/>
          <w:color w:val="auto"/>
          <w:sz w:val="32"/>
        </w:rPr>
        <w:t>2.</w:t>
      </w:r>
      <w:r>
        <w:rPr>
          <w:rFonts w:hint="eastAsia" w:ascii="仿宋_GB2312" w:eastAsia="仿宋_GB2312"/>
          <w:color w:val="auto"/>
          <w:sz w:val="32"/>
        </w:rPr>
        <w:t>教学设计。依据学校实际使用的专业人才培养方案和课程标准，针对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中等职业学校应执行《关于加强中小学生手机管理工作的通知》“有限带入校园、禁止带入课堂”的要求。</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ascii="仿宋_GB2312" w:eastAsia="仿宋_GB2312"/>
          <w:color w:val="auto"/>
          <w:sz w:val="32"/>
        </w:rPr>
        <w:t>3.</w:t>
      </w:r>
      <w:r>
        <w:rPr>
          <w:rFonts w:hint="eastAsia" w:ascii="仿宋_GB2312" w:eastAsia="仿宋_GB2312"/>
          <w:color w:val="auto"/>
          <w:sz w:val="32"/>
        </w:rPr>
        <w:t>教学实施。教学实施应注重实效性，突出教学重点难点的解决方法和策略，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ascii="仿宋_GB2312" w:eastAsia="仿宋_GB2312"/>
          <w:color w:val="auto"/>
          <w:sz w:val="32"/>
        </w:rPr>
        <w:t>4.</w:t>
      </w:r>
      <w:r>
        <w:rPr>
          <w:rFonts w:hint="eastAsia" w:ascii="仿宋_GB2312" w:eastAsia="仿宋_GB2312"/>
          <w:color w:val="auto"/>
          <w:sz w:val="32"/>
        </w:rPr>
        <w:t>教学评价。深入贯彻落实《深化新时代教育评价改革总体方案》，改进结果评价，强化过程评价，探索增值评价，健全综合评价；鼓励依托线上平台和软件工具，运用大数据、人工智能等现代信息技术，开展教与学行为分析。</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ascii="仿宋_GB2312" w:eastAsia="仿宋_GB2312"/>
          <w:color w:val="auto"/>
          <w:sz w:val="32"/>
        </w:rPr>
        <w:t>5.</w:t>
      </w:r>
      <w:r>
        <w:rPr>
          <w:rFonts w:hint="eastAsia" w:ascii="仿宋_GB2312" w:eastAsia="仿宋_GB2312"/>
          <w:color w:val="auto"/>
          <w:sz w:val="32"/>
        </w:rPr>
        <w:t>教学反思。教学实施后应充分反思在教学理念、教学设计、教学实施、教学评价过程中形成的经验与存在的不足，总结在课程思政、素养教育、重点突出、难点突破等方面的改革与创新，做到设计理念、教学实施与育人成效的有机统一。</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二、比赛分组</w:t>
      </w:r>
    </w:p>
    <w:p>
      <w:pPr>
        <w:pStyle w:val="2"/>
        <w:pageBreakBefore w:val="0"/>
        <w:widowControl w:val="0"/>
        <w:kinsoku/>
        <w:wordWrap/>
        <w:overflowPunct/>
        <w:topLinePunct w:val="0"/>
        <w:autoSpaceDE/>
        <w:autoSpaceDN/>
        <w:bidi w:val="0"/>
        <w:spacing w:before="0" w:after="0" w:line="580" w:lineRule="exact"/>
        <w:ind w:firstLine="643"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中等职业教育</w:t>
      </w:r>
      <w:r>
        <w:rPr>
          <w:rFonts w:hint="eastAsia" w:ascii="楷体_GB2312" w:hAnsi="楷体_GB2312" w:eastAsia="楷体_GB2312" w:cs="楷体_GB2312"/>
          <w:color w:val="auto"/>
          <w:sz w:val="32"/>
          <w:szCs w:val="32"/>
          <w:lang w:eastAsia="zh-CN"/>
        </w:rPr>
        <w:t>组</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1.</w:t>
      </w:r>
      <w:r>
        <w:rPr>
          <w:rFonts w:ascii="仿宋_GB2312" w:hAnsi="仿宋" w:eastAsia="仿宋_GB2312"/>
          <w:b w:val="0"/>
          <w:bCs w:val="0"/>
          <w:color w:val="auto"/>
          <w:sz w:val="32"/>
          <w:szCs w:val="32"/>
        </w:rPr>
        <w:t>中职公共基础课程组：参赛作品应为公共基础课程中不少于12学时连续、完整的教学内容</w:t>
      </w:r>
      <w:r>
        <w:rPr>
          <w:rFonts w:hint="eastAsia" w:ascii="仿宋_GB2312" w:hAnsi="仿宋" w:eastAsia="仿宋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2.</w:t>
      </w:r>
      <w:r>
        <w:rPr>
          <w:rFonts w:ascii="仿宋_GB2312" w:hAnsi="仿宋" w:eastAsia="仿宋_GB2312"/>
          <w:b w:val="0"/>
          <w:bCs w:val="0"/>
          <w:color w:val="auto"/>
          <w:sz w:val="32"/>
          <w:szCs w:val="32"/>
        </w:rPr>
        <w:t>中职专业技能课程一组：参赛作品应为专业核心课或专业（技能）方向课中不少于16学时连续、完整的教学内容</w:t>
      </w:r>
      <w:r>
        <w:rPr>
          <w:rFonts w:hint="eastAsia" w:ascii="仿宋_GB2312" w:hAnsi="仿宋" w:eastAsia="仿宋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val="0"/>
          <w:bCs w:val="0"/>
          <w:color w:val="auto"/>
          <w:sz w:val="32"/>
          <w:szCs w:val="32"/>
        </w:rPr>
        <w:t>3.</w:t>
      </w:r>
      <w:r>
        <w:rPr>
          <w:rFonts w:ascii="仿宋_GB2312" w:hAnsi="仿宋" w:eastAsia="仿宋_GB2312"/>
          <w:b w:val="0"/>
          <w:bCs w:val="0"/>
          <w:color w:val="auto"/>
          <w:sz w:val="32"/>
          <w:szCs w:val="32"/>
        </w:rPr>
        <w:t>中职专业技能课程二组：</w:t>
      </w:r>
      <w:r>
        <w:rPr>
          <w:rFonts w:ascii="仿宋_GB2312" w:hAnsi="仿宋" w:eastAsia="仿宋_GB2312"/>
          <w:color w:val="auto"/>
          <w:sz w:val="32"/>
          <w:szCs w:val="32"/>
        </w:rPr>
        <w:t>参赛作品应为专业核心课或专业（技能）方向课中不少于16学时连续、完整的教学内容，其中必须包含不少于6学时的实训教学内容</w:t>
      </w:r>
      <w:r>
        <w:rPr>
          <w:rFonts w:hint="eastAsia" w:ascii="仿宋_GB2312" w:hAnsi="仿宋" w:eastAsia="仿宋_GB2312"/>
          <w:color w:val="auto"/>
          <w:sz w:val="32"/>
          <w:szCs w:val="32"/>
        </w:rPr>
        <w:t>。职业院校</w:t>
      </w:r>
      <w:r>
        <w:rPr>
          <w:rFonts w:ascii="仿宋_GB2312" w:hAnsi="仿宋" w:eastAsia="仿宋_GB2312"/>
          <w:color w:val="auto"/>
          <w:sz w:val="32"/>
          <w:szCs w:val="32"/>
        </w:rPr>
        <w:t>专业（类）顶岗实习标准中的实习项目工作任务也可参赛</w:t>
      </w:r>
      <w:r>
        <w:rPr>
          <w:rFonts w:hint="eastAsia" w:ascii="仿宋_GB2312" w:hAnsi="仿宋" w:eastAsia="仿宋_GB2312"/>
          <w:color w:val="auto"/>
          <w:sz w:val="32"/>
          <w:szCs w:val="32"/>
        </w:rPr>
        <w:t>。</w:t>
      </w:r>
    </w:p>
    <w:p>
      <w:pPr>
        <w:pStyle w:val="2"/>
        <w:pageBreakBefore w:val="0"/>
        <w:widowControl w:val="0"/>
        <w:kinsoku/>
        <w:wordWrap/>
        <w:overflowPunct/>
        <w:topLinePunct w:val="0"/>
        <w:autoSpaceDE/>
        <w:autoSpaceDN/>
        <w:bidi w:val="0"/>
        <w:spacing w:before="0" w:after="0" w:line="580" w:lineRule="exact"/>
        <w:ind w:firstLine="643"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（二）高等职业教育组</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val="0"/>
          <w:bCs w:val="0"/>
          <w:color w:val="auto"/>
          <w:sz w:val="32"/>
          <w:szCs w:val="32"/>
          <w:lang w:val="en-US" w:eastAsia="zh-CN"/>
        </w:rPr>
        <w:t>1</w:t>
      </w:r>
      <w:r>
        <w:rPr>
          <w:rFonts w:hint="eastAsia" w:ascii="仿宋_GB2312" w:hAnsi="仿宋" w:eastAsia="仿宋_GB2312"/>
          <w:b w:val="0"/>
          <w:bCs w:val="0"/>
          <w:color w:val="auto"/>
          <w:sz w:val="32"/>
          <w:szCs w:val="32"/>
        </w:rPr>
        <w:t>.</w:t>
      </w:r>
      <w:r>
        <w:rPr>
          <w:rFonts w:ascii="仿宋_GB2312" w:hAnsi="仿宋" w:eastAsia="仿宋_GB2312"/>
          <w:b w:val="0"/>
          <w:bCs w:val="0"/>
          <w:color w:val="auto"/>
          <w:sz w:val="32"/>
          <w:szCs w:val="32"/>
        </w:rPr>
        <w:t>高职公共基础课程组：参赛作</w:t>
      </w:r>
      <w:r>
        <w:rPr>
          <w:rFonts w:ascii="仿宋_GB2312" w:hAnsi="仿宋" w:eastAsia="仿宋_GB2312"/>
          <w:color w:val="auto"/>
          <w:sz w:val="32"/>
          <w:szCs w:val="32"/>
        </w:rPr>
        <w:t>品应为公共基础课程中不少于12学时连续、完整的教学内容</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w:t>
      </w:r>
      <w:r>
        <w:rPr>
          <w:rFonts w:ascii="仿宋_GB2312" w:hAnsi="仿宋" w:eastAsia="仿宋_GB2312"/>
          <w:b w:val="0"/>
          <w:bCs w:val="0"/>
          <w:color w:val="auto"/>
          <w:sz w:val="32"/>
          <w:szCs w:val="32"/>
        </w:rPr>
        <w:t>高职专业课程一组：参</w:t>
      </w:r>
      <w:r>
        <w:rPr>
          <w:rFonts w:ascii="仿宋_GB2312" w:hAnsi="仿宋" w:eastAsia="仿宋_GB2312"/>
          <w:color w:val="auto"/>
          <w:sz w:val="32"/>
          <w:szCs w:val="32"/>
        </w:rPr>
        <w:t>赛作品应为专业基础课程或专业核心课程</w:t>
      </w:r>
      <w:r>
        <w:rPr>
          <w:rFonts w:hint="eastAsia" w:ascii="仿宋_GB2312" w:hAnsi="仿宋" w:eastAsia="仿宋_GB2312"/>
          <w:color w:val="auto"/>
          <w:sz w:val="32"/>
          <w:szCs w:val="32"/>
        </w:rPr>
        <w:t>或专业拓展课程</w:t>
      </w:r>
      <w:r>
        <w:rPr>
          <w:rFonts w:ascii="仿宋_GB2312" w:hAnsi="仿宋" w:eastAsia="仿宋_GB2312"/>
          <w:color w:val="auto"/>
          <w:sz w:val="32"/>
          <w:szCs w:val="32"/>
        </w:rPr>
        <w:t>中不少于16学时连续、完整的教学内容</w:t>
      </w:r>
      <w:r>
        <w:rPr>
          <w:rFonts w:hint="eastAsia" w:ascii="仿宋_GB2312" w:hAnsi="仿宋" w:eastAsia="仿宋_GB2312"/>
          <w:color w:val="auto"/>
          <w:sz w:val="32"/>
          <w:szCs w:val="32"/>
        </w:rPr>
        <w:t>。</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val="0"/>
          <w:bCs w:val="0"/>
          <w:color w:val="auto"/>
          <w:sz w:val="32"/>
          <w:szCs w:val="32"/>
          <w:lang w:val="en-US" w:eastAsia="zh-CN"/>
        </w:rPr>
        <w:t>3</w:t>
      </w:r>
      <w:r>
        <w:rPr>
          <w:rFonts w:hint="eastAsia" w:ascii="仿宋_GB2312" w:hAnsi="仿宋" w:eastAsia="仿宋_GB2312"/>
          <w:b w:val="0"/>
          <w:bCs w:val="0"/>
          <w:color w:val="auto"/>
          <w:sz w:val="32"/>
          <w:szCs w:val="32"/>
        </w:rPr>
        <w:t>.</w:t>
      </w:r>
      <w:r>
        <w:rPr>
          <w:rFonts w:ascii="仿宋_GB2312" w:hAnsi="仿宋" w:eastAsia="仿宋_GB2312"/>
          <w:b w:val="0"/>
          <w:bCs w:val="0"/>
          <w:color w:val="auto"/>
          <w:sz w:val="32"/>
          <w:szCs w:val="32"/>
        </w:rPr>
        <w:t>高职专业课程二组：</w:t>
      </w:r>
      <w:r>
        <w:rPr>
          <w:rFonts w:ascii="仿宋_GB2312" w:hAnsi="仿宋" w:eastAsia="仿宋_GB2312"/>
          <w:color w:val="auto"/>
          <w:sz w:val="32"/>
          <w:szCs w:val="32"/>
        </w:rPr>
        <w:t>参赛作品应为专业核心课程</w:t>
      </w:r>
      <w:r>
        <w:rPr>
          <w:rFonts w:hint="eastAsia" w:ascii="仿宋_GB2312" w:hAnsi="仿宋" w:eastAsia="仿宋_GB2312"/>
          <w:color w:val="auto"/>
          <w:sz w:val="32"/>
          <w:szCs w:val="32"/>
        </w:rPr>
        <w:t>或专业拓展课程</w:t>
      </w:r>
      <w:r>
        <w:rPr>
          <w:rFonts w:ascii="仿宋_GB2312" w:hAnsi="仿宋" w:eastAsia="仿宋_GB2312"/>
          <w:color w:val="auto"/>
          <w:sz w:val="32"/>
          <w:szCs w:val="32"/>
        </w:rPr>
        <w:t>中不少于16学时连续、完整的教学内容，其中必须包含不少于6学时的实训教学内容</w:t>
      </w:r>
      <w:r>
        <w:rPr>
          <w:rFonts w:hint="eastAsia" w:ascii="仿宋_GB2312" w:hAnsi="仿宋" w:eastAsia="仿宋_GB2312"/>
          <w:color w:val="auto"/>
          <w:sz w:val="32"/>
          <w:szCs w:val="32"/>
        </w:rPr>
        <w:t>。职业院校</w:t>
      </w:r>
      <w:r>
        <w:rPr>
          <w:rFonts w:ascii="仿宋_GB2312" w:hAnsi="仿宋" w:eastAsia="仿宋_GB2312"/>
          <w:color w:val="auto"/>
          <w:sz w:val="32"/>
          <w:szCs w:val="32"/>
        </w:rPr>
        <w:t>专业（类）顶岗实习标准中的实习项目工作任务也可参赛。</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五年制高职前三年课程参加中等职业教育组比赛</w:t>
      </w:r>
      <w:r>
        <w:rPr>
          <w:rFonts w:hint="eastAsia" w:ascii="仿宋_GB2312" w:hAnsi="仿宋" w:eastAsia="仿宋_GB2312"/>
          <w:color w:val="auto"/>
          <w:sz w:val="32"/>
          <w:szCs w:val="32"/>
        </w:rPr>
        <w:t>；</w:t>
      </w:r>
      <w:r>
        <w:rPr>
          <w:rFonts w:ascii="仿宋_GB2312" w:hAnsi="仿宋" w:eastAsia="仿宋_GB2312"/>
          <w:color w:val="auto"/>
          <w:sz w:val="32"/>
          <w:szCs w:val="32"/>
        </w:rPr>
        <w:t>五年制高职后二年课程</w:t>
      </w:r>
      <w:r>
        <w:rPr>
          <w:rFonts w:hint="eastAsia" w:ascii="仿宋_GB2312" w:hAnsi="仿宋" w:eastAsia="仿宋_GB2312"/>
          <w:color w:val="auto"/>
          <w:sz w:val="32"/>
          <w:szCs w:val="32"/>
        </w:rPr>
        <w:t>以及本科层次职业教育试点学校、示范性</w:t>
      </w:r>
      <w:r>
        <w:rPr>
          <w:rFonts w:ascii="仿宋_GB2312" w:hAnsi="仿宋" w:eastAsia="仿宋_GB2312"/>
          <w:color w:val="auto"/>
          <w:sz w:val="32"/>
          <w:szCs w:val="32"/>
        </w:rPr>
        <w:t>应用型</w:t>
      </w:r>
      <w:r>
        <w:rPr>
          <w:rFonts w:hint="eastAsia" w:ascii="仿宋_GB2312" w:hAnsi="仿宋" w:eastAsia="仿宋_GB2312"/>
          <w:color w:val="auto"/>
          <w:sz w:val="32"/>
          <w:szCs w:val="32"/>
        </w:rPr>
        <w:t>本科高</w:t>
      </w:r>
      <w:r>
        <w:rPr>
          <w:rFonts w:ascii="仿宋_GB2312" w:hAnsi="仿宋" w:eastAsia="仿宋_GB2312"/>
          <w:color w:val="auto"/>
          <w:sz w:val="32"/>
          <w:szCs w:val="32"/>
        </w:rPr>
        <w:t>校</w:t>
      </w:r>
      <w:r>
        <w:rPr>
          <w:rFonts w:hint="eastAsia" w:ascii="仿宋_GB2312" w:hAnsi="仿宋" w:eastAsia="仿宋_GB2312"/>
          <w:color w:val="auto"/>
          <w:sz w:val="32"/>
          <w:szCs w:val="32"/>
        </w:rPr>
        <w:t>、新建本科院校（有专科在校生）和</w:t>
      </w:r>
      <w:r>
        <w:rPr>
          <w:rFonts w:ascii="仿宋_GB2312" w:hAnsi="仿宋" w:eastAsia="仿宋_GB2312"/>
          <w:color w:val="auto"/>
          <w:sz w:val="32"/>
          <w:szCs w:val="32"/>
        </w:rPr>
        <w:t>福</w:t>
      </w:r>
      <w:r>
        <w:rPr>
          <w:rFonts w:ascii="仿宋_GB2312" w:hAnsi="仿宋" w:eastAsia="仿宋_GB2312"/>
          <w:bCs/>
          <w:color w:val="auto"/>
          <w:sz w:val="32"/>
          <w:szCs w:val="32"/>
        </w:rPr>
        <w:t>建技术师范学院</w:t>
      </w:r>
      <w:r>
        <w:rPr>
          <w:rFonts w:hint="eastAsia" w:ascii="仿宋_GB2312" w:hAnsi="仿宋" w:eastAsia="仿宋_GB2312"/>
          <w:color w:val="auto"/>
          <w:sz w:val="32"/>
          <w:szCs w:val="32"/>
        </w:rPr>
        <w:t>课程参加高等职业教育组比赛。</w:t>
      </w:r>
    </w:p>
    <w:p>
      <w:pPr>
        <w:pageBreakBefore w:val="0"/>
        <w:widowControl w:val="0"/>
        <w:wordWrap/>
        <w:topLinePunct w:val="0"/>
        <w:autoSpaceDE w:val="0"/>
        <w:autoSpaceDN w:val="0"/>
        <w:bidi w:val="0"/>
        <w:adjustRightIn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三、参赛对象</w:t>
      </w:r>
    </w:p>
    <w:p>
      <w:pPr>
        <w:pageBreakBefore w:val="0"/>
        <w:widowControl w:val="0"/>
        <w:wordWrap/>
        <w:topLinePunct w:val="0"/>
        <w:autoSpaceDE w:val="0"/>
        <w:autoSpaceDN w:val="0"/>
        <w:bidi w:val="0"/>
        <w:adjustRightInd w:val="0"/>
        <w:spacing w:line="580" w:lineRule="exact"/>
        <w:ind w:firstLine="640" w:firstLineChars="200"/>
        <w:textAlignment w:val="auto"/>
        <w:rPr>
          <w:rFonts w:ascii="仿宋_GB2312" w:hAnsi="仿宋" w:eastAsia="仿宋_GB2312"/>
          <w:color w:val="auto"/>
          <w:sz w:val="32"/>
          <w:szCs w:val="32"/>
        </w:rPr>
      </w:pPr>
      <w:r>
        <w:rPr>
          <w:rFonts w:hint="eastAsia" w:ascii="仿宋_GB2312" w:eastAsia="仿宋_GB2312"/>
          <w:color w:val="auto"/>
          <w:sz w:val="32"/>
        </w:rPr>
        <w:t>1.参赛对象应为职业院校（含</w:t>
      </w:r>
      <w:r>
        <w:rPr>
          <w:rFonts w:hint="eastAsia" w:ascii="仿宋_GB2312" w:eastAsia="仿宋_GB2312"/>
          <w:color w:val="auto"/>
          <w:sz w:val="32"/>
          <w:lang w:eastAsia="zh-CN"/>
        </w:rPr>
        <w:t>职业本科学校、</w:t>
      </w:r>
      <w:r>
        <w:rPr>
          <w:rFonts w:hint="eastAsia" w:ascii="仿宋_GB2312" w:eastAsia="仿宋_GB2312"/>
          <w:color w:val="auto"/>
          <w:sz w:val="32"/>
        </w:rPr>
        <w:t>示范性应用型本科高校、</w:t>
      </w:r>
      <w:r>
        <w:rPr>
          <w:rFonts w:hint="eastAsia" w:ascii="仿宋_GB2312" w:eastAsia="仿宋_GB2312"/>
          <w:color w:val="auto"/>
          <w:sz w:val="32"/>
          <w:lang w:eastAsia="zh-CN"/>
        </w:rPr>
        <w:t>有专科在校生</w:t>
      </w:r>
      <w:r>
        <w:rPr>
          <w:rFonts w:hint="eastAsia" w:ascii="仿宋_GB2312" w:eastAsia="仿宋_GB2312"/>
          <w:color w:val="auto"/>
          <w:sz w:val="32"/>
        </w:rPr>
        <w:t>新建本科院校、福建技术师范学院</w:t>
      </w:r>
      <w:r>
        <w:rPr>
          <w:rFonts w:hint="eastAsia" w:ascii="仿宋_GB2312" w:eastAsia="仿宋_GB2312"/>
          <w:color w:val="auto"/>
          <w:sz w:val="32"/>
          <w:lang w:eastAsia="zh-CN"/>
        </w:rPr>
        <w:t>，以下简称部分本科院校，下同</w:t>
      </w:r>
      <w:r>
        <w:rPr>
          <w:rFonts w:hint="eastAsia" w:ascii="仿宋_GB2312" w:eastAsia="仿宋_GB2312"/>
          <w:color w:val="auto"/>
          <w:sz w:val="32"/>
        </w:rPr>
        <w:t>）</w:t>
      </w:r>
      <w:r>
        <w:rPr>
          <w:rFonts w:hint="eastAsia" w:ascii="仿宋_GB2312" w:eastAsia="仿宋_GB2312"/>
          <w:color w:val="auto"/>
          <w:sz w:val="32"/>
          <w:szCs w:val="32"/>
        </w:rPr>
        <w:t>教龄</w:t>
      </w:r>
      <w:r>
        <w:rPr>
          <w:rFonts w:ascii="仿宋_GB2312" w:eastAsia="仿宋_GB2312"/>
          <w:color w:val="auto"/>
          <w:sz w:val="32"/>
          <w:szCs w:val="32"/>
        </w:rPr>
        <w:t>2</w:t>
      </w:r>
      <w:r>
        <w:rPr>
          <w:rFonts w:hint="eastAsia" w:ascii="仿宋_GB2312" w:eastAsia="仿宋_GB2312"/>
          <w:color w:val="auto"/>
          <w:sz w:val="32"/>
          <w:szCs w:val="32"/>
        </w:rPr>
        <w:t>年</w:t>
      </w:r>
      <w:r>
        <w:rPr>
          <w:rFonts w:hint="eastAsia" w:ascii="仿宋_GB2312" w:eastAsia="仿宋_GB2312"/>
          <w:color w:val="auto"/>
          <w:sz w:val="32"/>
          <w:szCs w:val="32"/>
          <w:lang w:eastAsia="zh-CN"/>
        </w:rPr>
        <w:t>及</w:t>
      </w:r>
      <w:r>
        <w:rPr>
          <w:rFonts w:hint="eastAsia" w:ascii="仿宋_GB2312" w:eastAsia="仿宋_GB2312"/>
          <w:color w:val="auto"/>
          <w:sz w:val="32"/>
          <w:szCs w:val="32"/>
        </w:rPr>
        <w:t>以上的</w:t>
      </w:r>
      <w:r>
        <w:rPr>
          <w:rFonts w:hint="eastAsia" w:ascii="仿宋_GB2312" w:eastAsia="仿宋_GB2312"/>
          <w:color w:val="auto"/>
          <w:sz w:val="32"/>
        </w:rPr>
        <w:t>在职教师，学校正式聘用的企业兼职教师可按要求参加专业（技能）课程组的比赛。</w:t>
      </w:r>
      <w:bookmarkStart w:id="5" w:name="_Hlk36507360"/>
      <w:bookmarkEnd w:id="5"/>
      <w:r>
        <w:rPr>
          <w:rFonts w:hint="eastAsia" w:ascii="仿宋_GB2312" w:eastAsia="仿宋_GB2312"/>
          <w:color w:val="auto"/>
          <w:sz w:val="32"/>
        </w:rPr>
        <w:t>每个教学团队由实际承担参赛课程或相关课程教学（含实习指导）任务的教师组成，教学团队结构合理，具备高级专业技术职务或取得高级职业技能等级证书的教师不少于</w:t>
      </w:r>
      <w:r>
        <w:rPr>
          <w:rFonts w:ascii="仿宋_GB2312" w:eastAsia="仿宋_GB2312"/>
          <w:color w:val="auto"/>
          <w:sz w:val="32"/>
        </w:rPr>
        <w:t>1</w:t>
      </w:r>
      <w:r>
        <w:rPr>
          <w:rFonts w:hint="eastAsia" w:ascii="仿宋_GB2312" w:eastAsia="仿宋_GB2312"/>
          <w:color w:val="auto"/>
          <w:sz w:val="32"/>
        </w:rPr>
        <w:t>人；专业（技能）课程团队“双师型”教师占比</w:t>
      </w:r>
      <w:r>
        <w:rPr>
          <w:rFonts w:ascii="仿宋_GB2312" w:eastAsia="仿宋_GB2312"/>
          <w:color w:val="auto"/>
          <w:sz w:val="32"/>
        </w:rPr>
        <w:t>50%</w:t>
      </w:r>
      <w:r>
        <w:rPr>
          <w:rFonts w:hint="eastAsia" w:ascii="仿宋_GB2312" w:eastAsia="仿宋_GB2312"/>
          <w:color w:val="auto"/>
          <w:sz w:val="32"/>
        </w:rPr>
        <w:t>以上</w:t>
      </w:r>
      <w:r>
        <w:rPr>
          <w:rFonts w:hint="eastAsia" w:ascii="仿宋_GB2312" w:eastAsia="仿宋_GB2312"/>
          <w:color w:val="auto"/>
          <w:sz w:val="32"/>
          <w:lang w:eastAsia="zh-CN"/>
        </w:rPr>
        <w:t>；</w:t>
      </w:r>
      <w:r>
        <w:rPr>
          <w:rFonts w:ascii="仿宋_GB2312" w:hAnsi="仿宋" w:eastAsia="仿宋_GB2312"/>
          <w:color w:val="auto"/>
          <w:sz w:val="32"/>
          <w:szCs w:val="32"/>
        </w:rPr>
        <w:t>除公共基础课程组外，每个教学团队可吸收1名学校企业兼职教师作为团队成员参赛。</w:t>
      </w:r>
      <w:r>
        <w:rPr>
          <w:rFonts w:hint="eastAsia" w:ascii="仿宋_GB2312" w:hAnsi="仿宋" w:eastAsia="仿宋_GB2312"/>
          <w:color w:val="auto"/>
          <w:sz w:val="32"/>
          <w:szCs w:val="32"/>
        </w:rPr>
        <w:t>鼓励</w:t>
      </w:r>
      <w:r>
        <w:rPr>
          <w:rFonts w:ascii="仿宋_GB2312" w:hAnsi="仿宋" w:eastAsia="仿宋_GB2312"/>
          <w:color w:val="auto"/>
          <w:sz w:val="32"/>
          <w:szCs w:val="32"/>
        </w:rPr>
        <w:t>跨校</w:t>
      </w:r>
      <w:r>
        <w:rPr>
          <w:rFonts w:hint="eastAsia" w:ascii="仿宋_GB2312" w:hAnsi="仿宋" w:eastAsia="仿宋_GB2312"/>
          <w:color w:val="auto"/>
          <w:sz w:val="32"/>
          <w:szCs w:val="32"/>
        </w:rPr>
        <w:t>联合</w:t>
      </w:r>
      <w:r>
        <w:rPr>
          <w:rFonts w:ascii="仿宋_GB2312" w:hAnsi="仿宋" w:eastAsia="仿宋_GB2312"/>
          <w:color w:val="auto"/>
          <w:sz w:val="32"/>
          <w:szCs w:val="32"/>
        </w:rPr>
        <w:t>组队，但中等职业学校</w:t>
      </w:r>
      <w:r>
        <w:rPr>
          <w:rFonts w:hint="eastAsia" w:ascii="仿宋_GB2312" w:hAnsi="仿宋" w:eastAsia="仿宋_GB2312"/>
          <w:color w:val="auto"/>
          <w:sz w:val="32"/>
          <w:szCs w:val="32"/>
        </w:rPr>
        <w:t>和</w:t>
      </w:r>
      <w:r>
        <w:rPr>
          <w:rFonts w:ascii="仿宋_GB2312" w:hAnsi="仿宋" w:eastAsia="仿宋_GB2312"/>
          <w:color w:val="auto"/>
          <w:sz w:val="32"/>
          <w:szCs w:val="32"/>
        </w:rPr>
        <w:t>高等职业</w:t>
      </w:r>
      <w:r>
        <w:rPr>
          <w:rFonts w:hint="eastAsia" w:ascii="仿宋_GB2312" w:hAnsi="仿宋" w:eastAsia="仿宋_GB2312"/>
          <w:color w:val="auto"/>
          <w:sz w:val="32"/>
          <w:szCs w:val="32"/>
        </w:rPr>
        <w:t>院校</w:t>
      </w:r>
      <w:r>
        <w:rPr>
          <w:rFonts w:ascii="仿宋_GB2312" w:hAnsi="仿宋" w:eastAsia="仿宋_GB2312"/>
          <w:color w:val="auto"/>
          <w:sz w:val="32"/>
          <w:szCs w:val="32"/>
        </w:rPr>
        <w:t>不得混合组队。</w:t>
      </w:r>
    </w:p>
    <w:p>
      <w:pPr>
        <w:pageBreakBefore w:val="0"/>
        <w:widowControl w:val="0"/>
        <w:wordWrap/>
        <w:topLinePunct w:val="0"/>
        <w:autoSpaceDE w:val="0"/>
        <w:autoSpaceDN w:val="0"/>
        <w:bidi w:val="0"/>
        <w:adjustRightInd w:val="0"/>
        <w:spacing w:line="58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w:t>
      </w:r>
      <w:r>
        <w:rPr>
          <w:rFonts w:hint="eastAsia" w:ascii="仿宋_GB2312" w:hAnsi="仿宋" w:eastAsia="仿宋_GB2312"/>
          <w:color w:val="auto"/>
          <w:sz w:val="32"/>
          <w:szCs w:val="32"/>
          <w:lang w:eastAsia="zh-CN"/>
        </w:rPr>
        <w:t>获得</w:t>
      </w:r>
      <w:r>
        <w:rPr>
          <w:rFonts w:ascii="仿宋_GB2312" w:hAnsi="仿宋" w:eastAsia="仿宋_GB2312"/>
          <w:color w:val="auto"/>
          <w:sz w:val="32"/>
          <w:szCs w:val="32"/>
        </w:rPr>
        <w:t>20</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eastAsia="zh-CN"/>
        </w:rPr>
        <w:t>年</w:t>
      </w:r>
      <w:r>
        <w:rPr>
          <w:rFonts w:hint="eastAsia" w:ascii="仿宋_GB2312" w:hAnsi="仿宋" w:eastAsia="仿宋_GB2312"/>
          <w:color w:val="auto"/>
          <w:sz w:val="32"/>
          <w:szCs w:val="32"/>
        </w:rPr>
        <w:t>、2021</w:t>
      </w:r>
      <w:r>
        <w:rPr>
          <w:rFonts w:ascii="仿宋_GB2312" w:hAnsi="仿宋" w:eastAsia="仿宋_GB2312"/>
          <w:color w:val="auto"/>
          <w:sz w:val="32"/>
          <w:szCs w:val="32"/>
        </w:rPr>
        <w:t>年职业院校技能大赛教学能力比赛一等奖的教学团队全部成员不能报名</w:t>
      </w:r>
      <w:r>
        <w:rPr>
          <w:rFonts w:hint="eastAsia" w:ascii="仿宋_GB2312" w:hAnsi="仿宋" w:eastAsia="仿宋_GB2312"/>
          <w:color w:val="auto"/>
          <w:sz w:val="32"/>
          <w:szCs w:val="32"/>
          <w:lang w:eastAsia="zh-CN"/>
        </w:rPr>
        <w:t>参加</w:t>
      </w:r>
      <w:r>
        <w:rPr>
          <w:rFonts w:hint="eastAsia" w:ascii="仿宋_GB2312" w:hAnsi="仿宋" w:eastAsia="仿宋_GB2312"/>
          <w:color w:val="auto"/>
          <w:sz w:val="32"/>
          <w:szCs w:val="32"/>
          <w:lang w:val="en-US" w:eastAsia="zh-CN"/>
        </w:rPr>
        <w:t>2022年全省</w:t>
      </w:r>
      <w:r>
        <w:rPr>
          <w:rFonts w:hint="eastAsia" w:ascii="仿宋_GB2312" w:hAnsi="仿宋" w:eastAsia="仿宋_GB2312"/>
          <w:color w:val="auto"/>
          <w:sz w:val="32"/>
          <w:szCs w:val="32"/>
        </w:rPr>
        <w:t>职业院校技能大赛教学能力比赛，</w:t>
      </w:r>
      <w:r>
        <w:rPr>
          <w:rFonts w:hint="eastAsia" w:ascii="仿宋_GB2312" w:eastAsia="仿宋_GB2312"/>
          <w:color w:val="auto"/>
          <w:sz w:val="32"/>
        </w:rPr>
        <w:t>其教学团队所有成员的所在学校不能以同一公共基础课程报名参加公共基础课程组或以同一专业报名参加专业（技能）课程组的比赛</w:t>
      </w:r>
      <w:r>
        <w:rPr>
          <w:rFonts w:ascii="仿宋_GB2312" w:hAnsi="仿宋" w:eastAsia="仿宋_GB2312"/>
          <w:color w:val="auto"/>
          <w:sz w:val="32"/>
          <w:szCs w:val="32"/>
        </w:rPr>
        <w:t>；获得20</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eastAsia="zh-CN"/>
        </w:rPr>
        <w:t>年</w:t>
      </w:r>
      <w:r>
        <w:rPr>
          <w:rFonts w:hint="eastAsia" w:ascii="仿宋_GB2312" w:hAnsi="仿宋" w:eastAsia="仿宋_GB2312"/>
          <w:color w:val="auto"/>
          <w:sz w:val="32"/>
          <w:szCs w:val="32"/>
        </w:rPr>
        <w:t>、2021</w:t>
      </w:r>
      <w:r>
        <w:rPr>
          <w:rFonts w:ascii="仿宋_GB2312" w:hAnsi="仿宋" w:eastAsia="仿宋_GB2312"/>
          <w:color w:val="auto"/>
          <w:sz w:val="32"/>
          <w:szCs w:val="32"/>
        </w:rPr>
        <w:t>年职业院校技能大赛教学能力比赛</w:t>
      </w:r>
      <w:r>
        <w:rPr>
          <w:rFonts w:hint="eastAsia" w:ascii="仿宋_GB2312" w:eastAsia="仿宋_GB2312"/>
          <w:color w:val="auto"/>
          <w:sz w:val="32"/>
        </w:rPr>
        <w:t>二等奖的教学团队需要调整成员方能报名参赛（原</w:t>
      </w:r>
      <w:r>
        <w:rPr>
          <w:rFonts w:ascii="仿宋_GB2312" w:eastAsia="仿宋_GB2312"/>
          <w:color w:val="auto"/>
          <w:sz w:val="32"/>
        </w:rPr>
        <w:t>4</w:t>
      </w:r>
      <w:r>
        <w:rPr>
          <w:rFonts w:hint="eastAsia" w:ascii="仿宋_GB2312" w:eastAsia="仿宋_GB2312"/>
          <w:color w:val="auto"/>
          <w:sz w:val="32"/>
        </w:rPr>
        <w:t>人团队至少调整</w:t>
      </w:r>
      <w:r>
        <w:rPr>
          <w:rFonts w:ascii="仿宋_GB2312" w:eastAsia="仿宋_GB2312"/>
          <w:color w:val="auto"/>
          <w:sz w:val="32"/>
        </w:rPr>
        <w:t>2</w:t>
      </w:r>
      <w:r>
        <w:rPr>
          <w:rFonts w:hint="eastAsia" w:ascii="仿宋_GB2312" w:eastAsia="仿宋_GB2312"/>
          <w:color w:val="auto"/>
          <w:sz w:val="32"/>
        </w:rPr>
        <w:t>名成员；原</w:t>
      </w:r>
      <w:r>
        <w:rPr>
          <w:rFonts w:ascii="仿宋_GB2312" w:eastAsia="仿宋_GB2312"/>
          <w:color w:val="auto"/>
          <w:sz w:val="32"/>
        </w:rPr>
        <w:t>3</w:t>
      </w:r>
      <w:r>
        <w:rPr>
          <w:rFonts w:hint="eastAsia" w:ascii="仿宋_GB2312" w:eastAsia="仿宋_GB2312"/>
          <w:color w:val="auto"/>
          <w:sz w:val="32"/>
        </w:rPr>
        <w:t>人团队至少调整</w:t>
      </w:r>
      <w:r>
        <w:rPr>
          <w:rFonts w:ascii="仿宋_GB2312" w:eastAsia="仿宋_GB2312"/>
          <w:color w:val="auto"/>
          <w:sz w:val="32"/>
        </w:rPr>
        <w:t>1</w:t>
      </w:r>
      <w:r>
        <w:rPr>
          <w:rFonts w:hint="eastAsia" w:ascii="仿宋_GB2312" w:eastAsia="仿宋_GB2312"/>
          <w:color w:val="auto"/>
          <w:sz w:val="32"/>
        </w:rPr>
        <w:t>名成员，并可以再新增</w:t>
      </w:r>
      <w:r>
        <w:rPr>
          <w:rFonts w:ascii="仿宋_GB2312" w:eastAsia="仿宋_GB2312"/>
          <w:color w:val="auto"/>
          <w:sz w:val="32"/>
        </w:rPr>
        <w:t>1</w:t>
      </w:r>
      <w:r>
        <w:rPr>
          <w:rFonts w:hint="eastAsia" w:ascii="仿宋_GB2312" w:eastAsia="仿宋_GB2312"/>
          <w:color w:val="auto"/>
          <w:sz w:val="32"/>
        </w:rPr>
        <w:t>名成员；原</w:t>
      </w:r>
      <w:r>
        <w:rPr>
          <w:rFonts w:ascii="仿宋_GB2312" w:eastAsia="仿宋_GB2312"/>
          <w:color w:val="auto"/>
          <w:sz w:val="32"/>
        </w:rPr>
        <w:t>2</w:t>
      </w:r>
      <w:r>
        <w:rPr>
          <w:rFonts w:hint="eastAsia" w:ascii="仿宋_GB2312" w:eastAsia="仿宋_GB2312"/>
          <w:color w:val="auto"/>
          <w:sz w:val="32"/>
        </w:rPr>
        <w:t>人团队可以保留两名成员，但至少新增一名成员）</w:t>
      </w:r>
      <w:r>
        <w:rPr>
          <w:rFonts w:hint="eastAsia" w:ascii="仿宋_GB2312" w:hAnsi="仿宋" w:eastAsia="仿宋_GB2312"/>
          <w:color w:val="auto"/>
          <w:sz w:val="32"/>
          <w:szCs w:val="32"/>
          <w:lang w:eastAsia="zh-CN"/>
        </w:rPr>
        <w:t>。</w:t>
      </w:r>
    </w:p>
    <w:p>
      <w:pPr>
        <w:pageBreakBefore w:val="0"/>
        <w:widowControl w:val="0"/>
        <w:wordWrap/>
        <w:topLinePunct w:val="0"/>
        <w:autoSpaceDE w:val="0"/>
        <w:autoSpaceDN w:val="0"/>
        <w:bidi w:val="0"/>
        <w:adjustRightIn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3.在</w:t>
      </w:r>
      <w:r>
        <w:rPr>
          <w:rFonts w:ascii="仿宋_GB2312" w:hAnsi="仿宋" w:eastAsia="仿宋_GB2312"/>
          <w:color w:val="auto"/>
          <w:sz w:val="32"/>
          <w:szCs w:val="32"/>
        </w:rPr>
        <w:t>20</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eastAsia="zh-CN"/>
        </w:rPr>
        <w:t>年</w:t>
      </w:r>
      <w:r>
        <w:rPr>
          <w:rFonts w:hint="eastAsia" w:ascii="仿宋_GB2312" w:hAnsi="仿宋" w:eastAsia="仿宋_GB2312"/>
          <w:color w:val="auto"/>
          <w:sz w:val="32"/>
          <w:szCs w:val="32"/>
        </w:rPr>
        <w:t>、2021</w:t>
      </w:r>
      <w:r>
        <w:rPr>
          <w:rFonts w:ascii="仿宋_GB2312" w:hAnsi="仿宋" w:eastAsia="仿宋_GB2312"/>
          <w:color w:val="auto"/>
          <w:sz w:val="32"/>
          <w:szCs w:val="32"/>
        </w:rPr>
        <w:t>年</w:t>
      </w:r>
      <w:r>
        <w:rPr>
          <w:rFonts w:hint="eastAsia" w:ascii="仿宋_GB2312" w:hAnsi="仿宋" w:eastAsia="仿宋_GB2312"/>
          <w:color w:val="auto"/>
          <w:sz w:val="32"/>
          <w:szCs w:val="32"/>
        </w:rPr>
        <w:t>获得</w:t>
      </w:r>
      <w:r>
        <w:rPr>
          <w:rFonts w:hint="eastAsia" w:ascii="仿宋_GB2312" w:eastAsia="仿宋_GB2312"/>
          <w:color w:val="auto"/>
          <w:sz w:val="32"/>
          <w:lang w:eastAsia="zh-CN"/>
        </w:rPr>
        <w:t>全</w:t>
      </w:r>
      <w:r>
        <w:rPr>
          <w:rFonts w:hint="eastAsia" w:ascii="仿宋_GB2312" w:eastAsia="仿宋_GB2312"/>
          <w:color w:val="auto"/>
          <w:sz w:val="32"/>
        </w:rPr>
        <w:t>省职业院校教师教学能力比赛</w:t>
      </w:r>
      <w:r>
        <w:rPr>
          <w:rFonts w:hint="eastAsia" w:ascii="仿宋_GB2312" w:hAnsi="仿宋" w:eastAsia="仿宋_GB2312"/>
          <w:color w:val="auto"/>
          <w:sz w:val="32"/>
          <w:szCs w:val="32"/>
        </w:rPr>
        <w:t>一等奖的教学团队不得以同一作品参赛</w:t>
      </w:r>
      <w:r>
        <w:rPr>
          <w:rFonts w:ascii="仿宋_GB2312" w:hAnsi="仿宋" w:eastAsia="仿宋_GB2312"/>
          <w:color w:val="auto"/>
          <w:sz w:val="32"/>
          <w:szCs w:val="32"/>
        </w:rPr>
        <w:t>。</w:t>
      </w:r>
      <w:r>
        <w:rPr>
          <w:rFonts w:hint="eastAsia" w:ascii="仿宋_GB2312" w:hAnsi="仿宋" w:eastAsia="仿宋_GB2312"/>
          <w:color w:val="auto"/>
          <w:sz w:val="32"/>
          <w:szCs w:val="32"/>
        </w:rPr>
        <w:t xml:space="preserve">  </w:t>
      </w:r>
    </w:p>
    <w:p>
      <w:pPr>
        <w:pageBreakBefore w:val="0"/>
        <w:widowControl w:val="0"/>
        <w:wordWrap/>
        <w:overflowPunct w:val="0"/>
        <w:topLinePunct w:val="0"/>
        <w:bidi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eastAsia="仿宋_GB2312"/>
          <w:color w:val="auto"/>
          <w:sz w:val="32"/>
        </w:rPr>
        <w:t>鼓励国家级和省级职业教育教师教学创新团队、教学名师、教学成果奖主持人以及具有正高级专业技术职务的优秀教师报名参赛。</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hint="eastAsia" w:ascii="仿宋_GB2312" w:eastAsia="仿宋_GB2312"/>
          <w:color w:val="auto"/>
          <w:sz w:val="32"/>
          <w:lang w:val="en-US" w:eastAsia="zh-CN"/>
        </w:rPr>
        <w:t>5</w:t>
      </w:r>
      <w:r>
        <w:rPr>
          <w:rFonts w:hint="eastAsia" w:ascii="仿宋_GB2312" w:eastAsia="仿宋_GB2312"/>
          <w:color w:val="auto"/>
          <w:sz w:val="32"/>
        </w:rPr>
        <w:t>.教学团队成员所在学校均须在近</w:t>
      </w:r>
      <w:r>
        <w:rPr>
          <w:rFonts w:ascii="仿宋_GB2312" w:eastAsia="仿宋_GB2312"/>
          <w:color w:val="auto"/>
          <w:sz w:val="32"/>
        </w:rPr>
        <w:t>2</w:t>
      </w:r>
      <w:r>
        <w:rPr>
          <w:rFonts w:hint="eastAsia" w:ascii="仿宋_GB2312" w:eastAsia="仿宋_GB2312"/>
          <w:color w:val="auto"/>
          <w:sz w:val="32"/>
        </w:rPr>
        <w:t>年内实际开设参赛作品教学内容所属的专业（须依规在教育行政部门备案）和课程。</w:t>
      </w:r>
    </w:p>
    <w:p>
      <w:pPr>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参赛限额</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b/>
          <w:bCs/>
          <w:color w:val="auto"/>
          <w:sz w:val="32"/>
          <w:szCs w:val="32"/>
        </w:rPr>
      </w:pPr>
      <w:r>
        <w:rPr>
          <w:rFonts w:hint="eastAsia" w:ascii="仿宋_GB2312" w:eastAsia="仿宋_GB2312"/>
          <w:color w:val="auto"/>
          <w:sz w:val="32"/>
        </w:rPr>
        <w:t>在校赛、市赛基础上，</w:t>
      </w:r>
      <w:r>
        <w:rPr>
          <w:rFonts w:hint="eastAsia" w:ascii="仿宋_GB2312" w:hAnsi="仿宋" w:eastAsia="仿宋_GB2312"/>
          <w:color w:val="auto"/>
          <w:sz w:val="32"/>
          <w:szCs w:val="32"/>
        </w:rPr>
        <w:t>各设区市教育局、平潭综合实验区社会事业局负责选拔本地区教师组队</w:t>
      </w:r>
      <w:r>
        <w:rPr>
          <w:rFonts w:hint="eastAsia" w:ascii="仿宋_GB2312" w:hAnsi="仿宋" w:eastAsia="仿宋_GB2312"/>
          <w:color w:val="auto"/>
          <w:sz w:val="32"/>
          <w:szCs w:val="32"/>
          <w:lang w:eastAsia="zh-CN"/>
        </w:rPr>
        <w:t>参赛；</w:t>
      </w:r>
      <w:r>
        <w:rPr>
          <w:rFonts w:hint="eastAsia" w:ascii="仿宋_GB2312" w:hAnsi="仿宋" w:eastAsia="仿宋_GB2312"/>
          <w:color w:val="auto"/>
          <w:sz w:val="32"/>
          <w:szCs w:val="32"/>
        </w:rPr>
        <w:t>高职院校、省属中职学校和</w:t>
      </w:r>
      <w:r>
        <w:rPr>
          <w:rFonts w:hint="eastAsia" w:ascii="仿宋_GB2312" w:hAnsi="仿宋" w:eastAsia="仿宋_GB2312"/>
          <w:color w:val="auto"/>
          <w:sz w:val="32"/>
          <w:szCs w:val="32"/>
          <w:lang w:eastAsia="zh-CN"/>
        </w:rPr>
        <w:t>部分本科院校</w:t>
      </w:r>
      <w:r>
        <w:rPr>
          <w:rFonts w:hint="eastAsia" w:ascii="仿宋_GB2312" w:hAnsi="仿宋" w:eastAsia="仿宋_GB2312"/>
          <w:color w:val="auto"/>
          <w:sz w:val="32"/>
          <w:szCs w:val="32"/>
        </w:rPr>
        <w:t>负责选拔本校教师组队参赛。</w:t>
      </w:r>
      <w:r>
        <w:rPr>
          <w:rFonts w:hint="eastAsia" w:ascii="仿宋_GB2312" w:hAnsi="仿宋_GB2312" w:eastAsia="仿宋_GB2312" w:cs="仿宋_GB2312"/>
          <w:color w:val="auto"/>
          <w:sz w:val="32"/>
          <w:szCs w:val="32"/>
        </w:rPr>
        <w:t>同一院校上报作品中，</w:t>
      </w:r>
      <w:r>
        <w:rPr>
          <w:rFonts w:hint="eastAsia" w:ascii="仿宋_GB2312" w:eastAsia="仿宋_GB2312"/>
          <w:color w:val="auto"/>
          <w:sz w:val="32"/>
        </w:rPr>
        <w:t>公共基础课程组作品不能出现课程的重复，专业（技能）课程（包括一组和二组）作品不能出现专业类的重复（按照《职业教育专业目录（</w:t>
      </w:r>
      <w:r>
        <w:rPr>
          <w:rFonts w:ascii="仿宋_GB2312" w:eastAsia="仿宋_GB2312"/>
          <w:color w:val="auto"/>
          <w:sz w:val="32"/>
        </w:rPr>
        <w:t>2021</w:t>
      </w:r>
      <w:r>
        <w:rPr>
          <w:rFonts w:hint="eastAsia" w:ascii="仿宋_GB2312" w:eastAsia="仿宋_GB2312"/>
          <w:color w:val="auto"/>
          <w:sz w:val="32"/>
        </w:rPr>
        <w:t>年）》完成新旧专业对照）。</w:t>
      </w:r>
    </w:p>
    <w:p>
      <w:pPr>
        <w:pageBreakBefore w:val="0"/>
        <w:widowControl w:val="0"/>
        <w:wordWrap/>
        <w:topLinePunct w:val="0"/>
        <w:bidi w:val="0"/>
        <w:adjustRightInd w:val="0"/>
        <w:snapToGrid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中等职业教育组</w:t>
      </w:r>
    </w:p>
    <w:p>
      <w:pPr>
        <w:pageBreakBefore w:val="0"/>
        <w:widowControl w:val="0"/>
        <w:kinsoku w:val="0"/>
        <w:wordWrap/>
        <w:overflowPunct w:val="0"/>
        <w:topLinePunct w:val="0"/>
        <w:bidi w:val="0"/>
        <w:adjustRightInd w:val="0"/>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公共基础课程组。同一</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同一门课程限报1件。每门课程福州市、厦门市、泉州市限报3件，其他设区市限报2件，平潭综合实验区、省属中职学校限报1件。</w:t>
      </w:r>
    </w:p>
    <w:p>
      <w:pPr>
        <w:pageBreakBefore w:val="0"/>
        <w:widowControl w:val="0"/>
        <w:kinsoku w:val="0"/>
        <w:wordWrap/>
        <w:overflowPunct w:val="0"/>
        <w:topLinePunct w:val="0"/>
        <w:bidi w:val="0"/>
        <w:adjustRightInd w:val="0"/>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专业技能课程组。同一</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同一专业大类限报2件。每个专业大类的参赛作品福州市、厦门、泉州市限报10件，其他设区市限报6件，平潭综合实验区、省属中职学校限报2件。专业技能</w:t>
      </w:r>
      <w:r>
        <w:rPr>
          <w:rFonts w:ascii="仿宋_GB2312" w:hAnsi="仿宋_GB2312" w:eastAsia="仿宋_GB2312" w:cs="仿宋_GB2312"/>
          <w:color w:val="auto"/>
          <w:sz w:val="32"/>
          <w:szCs w:val="32"/>
        </w:rPr>
        <w:t>课程二组的</w:t>
      </w:r>
      <w:r>
        <w:rPr>
          <w:rFonts w:hint="eastAsia" w:ascii="仿宋_GB2312" w:hAnsi="仿宋_GB2312" w:eastAsia="仿宋_GB2312" w:cs="仿宋_GB2312"/>
          <w:color w:val="auto"/>
          <w:sz w:val="32"/>
          <w:szCs w:val="32"/>
        </w:rPr>
        <w:t>参赛作品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不能少于上报专业技能课程作品总数的20%。</w:t>
      </w:r>
    </w:p>
    <w:p>
      <w:pPr>
        <w:pageBreakBefore w:val="0"/>
        <w:widowControl w:val="0"/>
        <w:wordWrap/>
        <w:topLinePunct w:val="0"/>
        <w:bidi w:val="0"/>
        <w:adjustRightInd w:val="0"/>
        <w:snapToGrid w:val="0"/>
        <w:spacing w:line="58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（二）高等职业教育组</w:t>
      </w:r>
    </w:p>
    <w:p>
      <w:pPr>
        <w:pageBreakBefore w:val="0"/>
        <w:widowControl w:val="0"/>
        <w:kinsoku w:val="0"/>
        <w:wordWrap/>
        <w:overflowPunct w:val="0"/>
        <w:topLinePunct w:val="0"/>
        <w:bidi w:val="0"/>
        <w:adjustRightInd w:val="0"/>
        <w:snapToGrid w:val="0"/>
        <w:spacing w:line="580" w:lineRule="exact"/>
        <w:ind w:firstLine="642"/>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公共基础课程组。同一公共基础课程每所院校限报1件。</w:t>
      </w:r>
    </w:p>
    <w:p>
      <w:pPr>
        <w:pageBreakBefore w:val="0"/>
        <w:widowControl w:val="0"/>
        <w:kinsoku w:val="0"/>
        <w:wordWrap/>
        <w:overflowPunct w:val="0"/>
        <w:topLinePunct w:val="0"/>
        <w:bidi w:val="0"/>
        <w:adjustRightInd w:val="0"/>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专业课程组。</w:t>
      </w:r>
      <w:r>
        <w:rPr>
          <w:rFonts w:hint="eastAsia" w:ascii="仿宋_GB2312" w:hAnsi="仿宋_GB2312" w:eastAsia="仿宋_GB2312" w:cs="仿宋_GB2312"/>
          <w:color w:val="auto"/>
          <w:sz w:val="32"/>
          <w:szCs w:val="32"/>
        </w:rPr>
        <w:t>每个专业大类每所院校限报2件。专业</w:t>
      </w:r>
      <w:r>
        <w:rPr>
          <w:rFonts w:ascii="仿宋_GB2312" w:hAnsi="仿宋_GB2312" w:eastAsia="仿宋_GB2312" w:cs="仿宋_GB2312"/>
          <w:color w:val="auto"/>
          <w:sz w:val="32"/>
          <w:szCs w:val="32"/>
        </w:rPr>
        <w:t>课程二组的</w:t>
      </w:r>
      <w:r>
        <w:rPr>
          <w:rFonts w:hint="eastAsia" w:ascii="仿宋_GB2312" w:hAnsi="仿宋_GB2312" w:eastAsia="仿宋_GB2312" w:cs="仿宋_GB2312"/>
          <w:color w:val="auto"/>
          <w:sz w:val="32"/>
          <w:szCs w:val="32"/>
        </w:rPr>
        <w:t>参赛作品不能少于上报专业课程作品总数的20%。</w:t>
      </w:r>
    </w:p>
    <w:p>
      <w:pPr>
        <w:pageBreakBefore w:val="0"/>
        <w:widowControl w:val="0"/>
        <w:wordWrap/>
        <w:topLinePunct w:val="0"/>
        <w:bidi w:val="0"/>
        <w:adjustRightInd w:val="0"/>
        <w:snapToGrid w:val="0"/>
        <w:spacing w:line="58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（三）参赛名额奖励</w:t>
      </w:r>
    </w:p>
    <w:p>
      <w:pPr>
        <w:pageBreakBefore w:val="0"/>
        <w:widowControl w:val="0"/>
        <w:kinsoku w:val="0"/>
        <w:wordWrap/>
        <w:overflowPunct w:val="0"/>
        <w:topLinePunct w:val="0"/>
        <w:bidi w:val="0"/>
        <w:adjustRightInd w:val="0"/>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2021年全国职业院校技能大赛教学能力比赛</w:t>
      </w:r>
      <w:r>
        <w:rPr>
          <w:rFonts w:hint="eastAsia" w:ascii="仿宋_GB2312" w:hAnsi="仿宋_GB2312" w:eastAsia="仿宋_GB2312" w:cs="仿宋_GB2312"/>
          <w:color w:val="auto"/>
          <w:sz w:val="32"/>
          <w:szCs w:val="32"/>
          <w:lang w:eastAsia="zh-CN"/>
        </w:rPr>
        <w:t>中，获得</w:t>
      </w:r>
      <w:r>
        <w:rPr>
          <w:rFonts w:hint="eastAsia" w:ascii="仿宋_GB2312" w:hAnsi="仿宋_GB2312" w:eastAsia="仿宋_GB2312" w:cs="仿宋_GB2312"/>
          <w:color w:val="auto"/>
          <w:sz w:val="32"/>
          <w:szCs w:val="32"/>
        </w:rPr>
        <w:t>一、二等奖的教学团队所在院校奖励2个参赛名额，获三等奖的教学团队所在院校奖励1个参赛名额，</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跨校组队参赛的获奖教学团队奖励名额由联合</w:t>
      </w:r>
      <w:r>
        <w:rPr>
          <w:rFonts w:hint="eastAsia" w:ascii="仿宋_GB2312" w:hAnsi="仿宋_GB2312" w:eastAsia="仿宋_GB2312" w:cs="仿宋_GB2312"/>
          <w:color w:val="auto"/>
          <w:sz w:val="32"/>
          <w:szCs w:val="32"/>
          <w:lang w:eastAsia="zh-CN"/>
        </w:rPr>
        <w:t>组队的院校</w:t>
      </w:r>
      <w:r>
        <w:rPr>
          <w:rFonts w:hint="eastAsia" w:ascii="仿宋_GB2312" w:hAnsi="仿宋_GB2312" w:eastAsia="仿宋_GB2312" w:cs="仿宋_GB2312"/>
          <w:color w:val="auto"/>
          <w:sz w:val="32"/>
          <w:szCs w:val="32"/>
        </w:rPr>
        <w:t>协商分配。所奖励的参赛名额不受以上参赛限额限制。</w:t>
      </w:r>
    </w:p>
    <w:p>
      <w:pPr>
        <w:pageBreakBefore w:val="0"/>
        <w:widowControl w:val="0"/>
        <w:wordWrap/>
        <w:topLinePunct w:val="0"/>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、参赛作品及材料</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比赛不限</w:t>
      </w:r>
      <w:r>
        <w:rPr>
          <w:rFonts w:ascii="仿宋_GB2312" w:hAnsi="仿宋" w:eastAsia="仿宋_GB2312"/>
          <w:color w:val="auto"/>
          <w:sz w:val="32"/>
          <w:szCs w:val="32"/>
        </w:rPr>
        <w:t>专业和课程，</w:t>
      </w:r>
      <w:r>
        <w:rPr>
          <w:rFonts w:hint="eastAsia" w:ascii="仿宋_GB2312" w:hAnsi="仿宋" w:eastAsia="仿宋_GB2312"/>
          <w:color w:val="auto"/>
          <w:sz w:val="32"/>
          <w:szCs w:val="32"/>
        </w:rPr>
        <w:t>参赛</w:t>
      </w:r>
      <w:r>
        <w:rPr>
          <w:rFonts w:ascii="仿宋_GB2312" w:hAnsi="仿宋" w:eastAsia="仿宋_GB2312"/>
          <w:color w:val="auto"/>
          <w:sz w:val="32"/>
          <w:szCs w:val="32"/>
        </w:rPr>
        <w:t>教学团队</w:t>
      </w:r>
      <w:r>
        <w:rPr>
          <w:rFonts w:hint="eastAsia" w:ascii="仿宋_GB2312" w:hAnsi="仿宋" w:eastAsia="仿宋_GB2312"/>
          <w:color w:val="auto"/>
          <w:sz w:val="32"/>
          <w:szCs w:val="32"/>
        </w:rPr>
        <w:t>选取常规教学中一</w:t>
      </w:r>
      <w:r>
        <w:rPr>
          <w:rFonts w:ascii="仿宋_GB2312" w:hAnsi="仿宋" w:eastAsia="仿宋_GB2312"/>
          <w:color w:val="auto"/>
          <w:sz w:val="32"/>
          <w:szCs w:val="32"/>
        </w:rPr>
        <w:t>门课程在一个学期中符合要求的教学任务作为参赛作品，完成教学设计，实施课堂教学。教学内容要符合</w:t>
      </w:r>
      <w:r>
        <w:rPr>
          <w:rFonts w:hint="eastAsia" w:ascii="仿宋_GB2312" w:hAnsi="仿宋" w:eastAsia="仿宋_GB2312"/>
          <w:color w:val="auto"/>
          <w:sz w:val="32"/>
          <w:szCs w:val="32"/>
        </w:rPr>
        <w:t>教育部印发的</w:t>
      </w:r>
      <w:r>
        <w:rPr>
          <w:rFonts w:ascii="仿宋_GB2312" w:hAnsi="仿宋" w:eastAsia="仿宋_GB2312"/>
          <w:color w:val="auto"/>
          <w:sz w:val="32"/>
          <w:szCs w:val="32"/>
        </w:rPr>
        <w:t>职业教育国家教学标准</w:t>
      </w:r>
      <w:r>
        <w:rPr>
          <w:rFonts w:hint="eastAsia" w:ascii="仿宋_GB2312" w:hAnsi="仿宋" w:eastAsia="仿宋_GB2312"/>
          <w:color w:val="auto"/>
          <w:sz w:val="32"/>
          <w:szCs w:val="32"/>
        </w:rPr>
        <w:t>中的有关要求</w:t>
      </w:r>
      <w:r>
        <w:rPr>
          <w:rFonts w:ascii="仿宋_GB2312" w:hAnsi="仿宋" w:eastAsia="仿宋_GB2312"/>
          <w:color w:val="auto"/>
          <w:sz w:val="32"/>
          <w:szCs w:val="32"/>
        </w:rPr>
        <w:t>，公共基础课程教学内容应突出思想性、注重基础性、体现职业性、反映时代性；专业（技能）课程教学内容应对接新技术、新工艺、新规范，涉及1+X证书制度试点的专业，还应对接有关职业技能等级标准。教材的选用和使用必须遵照《职业院校教材管理办法》等文件规定和要求。</w:t>
      </w:r>
      <w:r>
        <w:rPr>
          <w:rFonts w:hint="eastAsia" w:ascii="仿宋_GB2312" w:hAnsi="仿宋" w:eastAsia="仿宋_GB2312"/>
          <w:color w:val="auto"/>
          <w:sz w:val="32"/>
          <w:szCs w:val="32"/>
        </w:rPr>
        <w:t>鼓励各地各校推荐落实中职公共基础课程标准、体现劳动教育特色、疫情防控相关的思政、医药卫生类教学内容、1+X证书制度试点有关专业、针对高职扩招生源特点创新教学模式、中外合作办学项目专业、线上线下混合式教学效果良好的作品参赛。</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 w:eastAsia="仿宋_GB2312"/>
          <w:color w:val="auto"/>
          <w:sz w:val="32"/>
          <w:szCs w:val="32"/>
        </w:rPr>
        <w:t>参赛作品材料包括实际使用的教案、3</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4段课堂实录视频、教学实施报告，另附参赛作品所依据的实际使用的专业人才培养方案和课程标准（详见附件1）。</w:t>
      </w:r>
    </w:p>
    <w:p>
      <w:pPr>
        <w:pageBreakBefore w:val="0"/>
        <w:widowControl w:val="0"/>
        <w:wordWrap/>
        <w:topLinePunct w:val="0"/>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六</w:t>
      </w:r>
      <w:r>
        <w:rPr>
          <w:rFonts w:ascii="黑体" w:hAnsi="黑体" w:eastAsia="黑体"/>
          <w:color w:val="auto"/>
          <w:sz w:val="32"/>
          <w:szCs w:val="32"/>
        </w:rPr>
        <w:t>、</w:t>
      </w:r>
      <w:r>
        <w:rPr>
          <w:rFonts w:hint="eastAsia" w:ascii="黑体" w:hAnsi="黑体" w:eastAsia="黑体"/>
          <w:color w:val="auto"/>
          <w:sz w:val="32"/>
          <w:szCs w:val="32"/>
        </w:rPr>
        <w:t>比赛办法</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根据</w:t>
      </w:r>
      <w:r>
        <w:rPr>
          <w:rFonts w:hint="eastAsia" w:ascii="仿宋_GB2312" w:hAnsi="仿宋" w:eastAsia="仿宋_GB2312"/>
          <w:color w:val="auto"/>
          <w:sz w:val="32"/>
          <w:szCs w:val="32"/>
        </w:rPr>
        <w:t>参赛作品</w:t>
      </w:r>
      <w:r>
        <w:rPr>
          <w:rFonts w:ascii="仿宋_GB2312" w:hAnsi="仿宋" w:eastAsia="仿宋_GB2312"/>
          <w:color w:val="auto"/>
          <w:sz w:val="32"/>
          <w:szCs w:val="32"/>
        </w:rPr>
        <w:t>情况分为若干</w:t>
      </w:r>
      <w:r>
        <w:rPr>
          <w:rFonts w:hint="eastAsia" w:ascii="仿宋_GB2312" w:hAnsi="仿宋" w:eastAsia="仿宋_GB2312"/>
          <w:color w:val="auto"/>
          <w:sz w:val="32"/>
          <w:szCs w:val="32"/>
        </w:rPr>
        <w:t>评审组。各评审组均采取先网络初评后组织决赛的方式进行。网络初评时，专家按照评分指标（详见附件2）对参赛作品材料进行评审</w:t>
      </w:r>
      <w:r>
        <w:rPr>
          <w:rFonts w:ascii="仿宋_GB2312" w:hAnsi="仿宋" w:eastAsia="仿宋_GB2312"/>
          <w:color w:val="auto"/>
          <w:sz w:val="32"/>
          <w:szCs w:val="32"/>
        </w:rPr>
        <w:t>，确定入围决赛的作品</w:t>
      </w:r>
      <w:r>
        <w:rPr>
          <w:rFonts w:hint="eastAsia" w:ascii="仿宋_GB2312" w:hAnsi="仿宋" w:eastAsia="仿宋_GB2312"/>
          <w:color w:val="auto"/>
          <w:sz w:val="32"/>
          <w:szCs w:val="32"/>
        </w:rPr>
        <w:t>及</w:t>
      </w:r>
      <w:r>
        <w:rPr>
          <w:rFonts w:ascii="仿宋_GB2312" w:hAnsi="仿宋" w:eastAsia="仿宋_GB2312"/>
          <w:color w:val="auto"/>
          <w:sz w:val="32"/>
          <w:szCs w:val="32"/>
        </w:rPr>
        <w:t>拟获得三等奖的作品。</w:t>
      </w:r>
      <w:r>
        <w:rPr>
          <w:rFonts w:hint="eastAsia" w:ascii="仿宋_GB2312" w:hAnsi="仿宋" w:eastAsia="仿宋_GB2312"/>
          <w:color w:val="auto"/>
          <w:sz w:val="32"/>
          <w:szCs w:val="32"/>
        </w:rPr>
        <w:t>决赛时，</w:t>
      </w:r>
      <w:r>
        <w:rPr>
          <w:rFonts w:ascii="仿宋_GB2312" w:hAnsi="仿宋" w:eastAsia="仿宋_GB2312"/>
          <w:color w:val="auto"/>
          <w:sz w:val="32"/>
          <w:szCs w:val="32"/>
        </w:rPr>
        <w:t>教学团队介绍教学实施报告、针对抽选内容进行无学生</w:t>
      </w:r>
      <w:r>
        <w:rPr>
          <w:rFonts w:hint="eastAsia" w:ascii="仿宋_GB2312" w:hAnsi="仿宋" w:eastAsia="仿宋_GB2312"/>
          <w:color w:val="auto"/>
          <w:sz w:val="32"/>
          <w:szCs w:val="32"/>
        </w:rPr>
        <w:t>教学展示</w:t>
      </w:r>
      <w:r>
        <w:rPr>
          <w:rFonts w:ascii="仿宋_GB2312" w:hAnsi="仿宋" w:eastAsia="仿宋_GB2312"/>
          <w:color w:val="auto"/>
          <w:sz w:val="32"/>
          <w:szCs w:val="32"/>
        </w:rPr>
        <w:t>、回答评委提问</w:t>
      </w:r>
      <w:r>
        <w:rPr>
          <w:rFonts w:hint="eastAsia" w:ascii="仿宋_GB2312" w:hAnsi="仿宋" w:eastAsia="仿宋_GB2312"/>
          <w:color w:val="auto"/>
          <w:sz w:val="32"/>
          <w:szCs w:val="32"/>
        </w:rPr>
        <w:t>（详见附件</w:t>
      </w:r>
      <w:r>
        <w:rPr>
          <w:rFonts w:ascii="仿宋_GB2312" w:hAnsi="仿宋" w:eastAsia="仿宋_GB2312"/>
          <w:color w:val="auto"/>
          <w:sz w:val="32"/>
          <w:szCs w:val="32"/>
        </w:rPr>
        <w:t>1</w:t>
      </w:r>
      <w:r>
        <w:rPr>
          <w:rFonts w:hint="eastAsia" w:ascii="仿宋_GB2312" w:hAnsi="仿宋" w:eastAsia="仿宋_GB2312"/>
          <w:color w:val="auto"/>
          <w:sz w:val="32"/>
          <w:szCs w:val="32"/>
        </w:rPr>
        <w:t>）。综合</w:t>
      </w:r>
      <w:r>
        <w:rPr>
          <w:rFonts w:ascii="仿宋_GB2312" w:hAnsi="仿宋" w:eastAsia="仿宋_GB2312"/>
          <w:color w:val="auto"/>
          <w:sz w:val="32"/>
          <w:szCs w:val="32"/>
        </w:rPr>
        <w:t>评审参赛作品材料和教学团队</w:t>
      </w:r>
      <w:r>
        <w:rPr>
          <w:rFonts w:hint="eastAsia" w:ascii="仿宋_GB2312" w:hAnsi="仿宋" w:eastAsia="仿宋_GB2312"/>
          <w:color w:val="auto"/>
          <w:sz w:val="32"/>
          <w:szCs w:val="32"/>
        </w:rPr>
        <w:t>决赛</w:t>
      </w:r>
      <w:r>
        <w:rPr>
          <w:rFonts w:ascii="仿宋_GB2312" w:hAnsi="仿宋" w:eastAsia="仿宋_GB2312"/>
          <w:color w:val="auto"/>
          <w:sz w:val="32"/>
          <w:szCs w:val="32"/>
        </w:rPr>
        <w:t>表现，确定比赛成绩。</w:t>
      </w:r>
      <w:r>
        <w:rPr>
          <w:rFonts w:hint="eastAsia" w:ascii="仿宋_GB2312" w:eastAsia="仿宋_GB2312"/>
          <w:color w:val="auto"/>
          <w:sz w:val="32"/>
        </w:rPr>
        <w:t>如因不可抗拒的因素影响，决赛有关安排另行通知。</w:t>
      </w:r>
    </w:p>
    <w:p>
      <w:pPr>
        <w:pageBreakBefore w:val="0"/>
        <w:widowControl w:val="0"/>
        <w:wordWrap/>
        <w:topLinePunct w:val="0"/>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七</w:t>
      </w:r>
      <w:r>
        <w:rPr>
          <w:rFonts w:ascii="黑体" w:hAnsi="黑体" w:eastAsia="黑体"/>
          <w:color w:val="auto"/>
          <w:sz w:val="32"/>
          <w:szCs w:val="32"/>
        </w:rPr>
        <w:t>、</w:t>
      </w:r>
      <w:r>
        <w:rPr>
          <w:rFonts w:hint="eastAsia" w:ascii="黑体" w:hAnsi="黑体" w:eastAsia="黑体"/>
          <w:color w:val="auto"/>
          <w:sz w:val="32"/>
          <w:szCs w:val="32"/>
        </w:rPr>
        <w:t>奖励办法</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1.大赛设单项奖和团体奖。单项奖按比赛项目分别设置一、二、三等奖，</w:t>
      </w:r>
      <w:r>
        <w:rPr>
          <w:rFonts w:hint="eastAsia" w:ascii="仿宋_GB2312" w:hAnsi="仿宋" w:eastAsia="仿宋_GB2312"/>
          <w:color w:val="auto"/>
          <w:sz w:val="32"/>
          <w:szCs w:val="32"/>
          <w:lang w:eastAsia="zh-CN"/>
        </w:rPr>
        <w:t>原则上</w:t>
      </w:r>
      <w:r>
        <w:rPr>
          <w:rFonts w:hint="eastAsia" w:ascii="仿宋_GB2312" w:hAnsi="仿宋" w:eastAsia="仿宋_GB2312"/>
          <w:color w:val="auto"/>
          <w:sz w:val="32"/>
          <w:szCs w:val="32"/>
        </w:rPr>
        <w:t>不超过参赛总数的10%、20%、30%，</w:t>
      </w:r>
      <w:r>
        <w:rPr>
          <w:rFonts w:ascii="仿宋_GB2312" w:hAnsi="仿宋" w:eastAsia="仿宋_GB2312"/>
          <w:color w:val="auto"/>
          <w:sz w:val="32"/>
          <w:szCs w:val="32"/>
        </w:rPr>
        <w:t>并从各组</w:t>
      </w:r>
      <w:r>
        <w:rPr>
          <w:rFonts w:hint="eastAsia" w:ascii="仿宋_GB2312" w:hAnsi="仿宋" w:eastAsia="仿宋_GB2312"/>
          <w:color w:val="auto"/>
          <w:sz w:val="32"/>
          <w:szCs w:val="32"/>
        </w:rPr>
        <w:t>获奖</w:t>
      </w:r>
      <w:r>
        <w:rPr>
          <w:rFonts w:ascii="仿宋_GB2312" w:hAnsi="仿宋" w:eastAsia="仿宋_GB2312"/>
          <w:color w:val="auto"/>
          <w:sz w:val="32"/>
          <w:szCs w:val="32"/>
        </w:rPr>
        <w:t>作品中遴选优秀作品参加</w:t>
      </w:r>
      <w:r>
        <w:rPr>
          <w:rFonts w:hint="eastAsia" w:ascii="仿宋_GB2312" w:hAnsi="仿宋" w:eastAsia="仿宋_GB2312"/>
          <w:color w:val="auto"/>
          <w:sz w:val="32"/>
          <w:szCs w:val="32"/>
        </w:rPr>
        <w:t>2022年</w:t>
      </w:r>
      <w:r>
        <w:rPr>
          <w:rFonts w:ascii="仿宋_GB2312" w:hAnsi="仿宋" w:eastAsia="仿宋_GB2312"/>
          <w:color w:val="auto"/>
          <w:sz w:val="32"/>
          <w:szCs w:val="32"/>
        </w:rPr>
        <w:t>全国职业院校技能大赛教学能力比赛。</w:t>
      </w:r>
      <w:r>
        <w:rPr>
          <w:rFonts w:hint="eastAsia" w:ascii="仿宋_GB2312" w:hAnsi="仿宋" w:eastAsia="仿宋_GB2312"/>
          <w:color w:val="auto"/>
          <w:sz w:val="32"/>
          <w:szCs w:val="32"/>
        </w:rPr>
        <w:t>团体奖设最佳组织奖10个（中高职组各5个）。</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2.根据《福建省财政厅 福建省教育厅关于印发&lt;福建省现代职业教育发展专项资金管理办法&gt;的通知》（闽财教</w:t>
      </w:r>
      <w:r>
        <w:rPr>
          <w:rFonts w:hint="eastAsia" w:ascii="仿宋_GB2312" w:hAnsi="仿宋_GB2312" w:eastAsia="仿宋_GB2312" w:cs="仿宋_GB2312"/>
          <w:color w:val="auto"/>
          <w:sz w:val="32"/>
          <w:szCs w:val="32"/>
        </w:rPr>
        <w:t>〔2019〕20号</w:t>
      </w:r>
      <w:r>
        <w:rPr>
          <w:rFonts w:hint="eastAsia" w:ascii="仿宋_GB2312" w:hAnsi="仿宋" w:eastAsia="仿宋_GB2312"/>
          <w:color w:val="auto"/>
          <w:sz w:val="32"/>
          <w:szCs w:val="32"/>
        </w:rPr>
        <w:t>），代表福建省参加国赛，获得一、二、三等奖的，每件获奖作品由省教育厅奖励所在学校10万元、5万元、2万元，由学校用于鼓励获奖教学团队。</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w:t>
      </w:r>
      <w:r>
        <w:rPr>
          <w:rFonts w:hint="eastAsia" w:ascii="仿宋_GB2312" w:hAnsi="仿宋" w:eastAsia="仿宋_GB2312"/>
          <w:color w:val="auto"/>
          <w:sz w:val="32"/>
          <w:szCs w:val="32"/>
          <w:lang w:eastAsia="zh-CN"/>
        </w:rPr>
        <w:t>国家和省级“双高计划”项目院校要积极组织参加比赛。比赛</w:t>
      </w:r>
      <w:r>
        <w:rPr>
          <w:rFonts w:hint="eastAsia" w:ascii="仿宋_GB2312" w:hAnsi="仿宋" w:eastAsia="仿宋_GB2312"/>
          <w:color w:val="auto"/>
          <w:sz w:val="32"/>
          <w:szCs w:val="32"/>
        </w:rPr>
        <w:t>获奖情况作为</w:t>
      </w:r>
      <w:r>
        <w:rPr>
          <w:rFonts w:hint="eastAsia" w:ascii="仿宋_GB2312" w:hAnsi="仿宋" w:eastAsia="仿宋_GB2312"/>
          <w:color w:val="auto"/>
          <w:sz w:val="32"/>
          <w:szCs w:val="32"/>
          <w:lang w:eastAsia="zh-CN"/>
        </w:rPr>
        <w:t>“双高计划”项目建设</w:t>
      </w:r>
      <w:r>
        <w:rPr>
          <w:rFonts w:hint="eastAsia" w:ascii="仿宋_GB2312" w:hAnsi="仿宋" w:eastAsia="仿宋_GB2312"/>
          <w:color w:val="auto"/>
          <w:sz w:val="32"/>
          <w:szCs w:val="32"/>
        </w:rPr>
        <w:t>考核评估指标和现代职业教育质量提升计划中央专项资金分配因素。</w:t>
      </w:r>
    </w:p>
    <w:p>
      <w:pPr>
        <w:pageBreakBefore w:val="0"/>
        <w:widowControl w:val="0"/>
        <w:wordWrap/>
        <w:topLinePunct w:val="0"/>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、材料报送要求</w:t>
      </w:r>
    </w:p>
    <w:p>
      <w:pPr>
        <w:pageBreakBefore w:val="0"/>
        <w:widowControl w:val="0"/>
        <w:wordWrap/>
        <w:topLinePunct w:val="0"/>
        <w:bidi w:val="0"/>
        <w:adjustRightInd w:val="0"/>
        <w:snapToGrid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（一）材料报送</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1.大赛的报名和电子版资料上传工作以参赛代表队为单位统一在福建职业教育与终身教育网（网址：www.fjzyjy.com）中“福建省职业院校技能大赛教学能力比赛”专栏进行，各代表队沿用</w:t>
      </w:r>
      <w:r>
        <w:rPr>
          <w:rFonts w:hint="eastAsia" w:ascii="仿宋_GB2312" w:hAnsi="仿宋" w:eastAsia="仿宋_GB2312"/>
          <w:color w:val="auto"/>
          <w:sz w:val="32"/>
          <w:szCs w:val="32"/>
          <w:highlight w:val="none"/>
        </w:rPr>
        <w:t>往年用户</w:t>
      </w:r>
      <w:r>
        <w:rPr>
          <w:rFonts w:ascii="仿宋_GB2312" w:hAnsi="仿宋" w:eastAsia="仿宋_GB2312"/>
          <w:color w:val="auto"/>
          <w:sz w:val="32"/>
          <w:szCs w:val="32"/>
          <w:highlight w:val="none"/>
        </w:rPr>
        <w:t>名</w:t>
      </w:r>
      <w:r>
        <w:rPr>
          <w:rFonts w:ascii="仿宋_GB2312" w:hAnsi="仿宋" w:eastAsia="仿宋_GB2312"/>
          <w:color w:val="auto"/>
          <w:sz w:val="32"/>
          <w:szCs w:val="32"/>
        </w:rPr>
        <w:t>，</w:t>
      </w:r>
      <w:r>
        <w:rPr>
          <w:rFonts w:hint="eastAsia" w:ascii="仿宋_GB2312" w:hAnsi="仿宋" w:eastAsia="仿宋_GB2312"/>
          <w:color w:val="auto"/>
          <w:sz w:val="32"/>
          <w:szCs w:val="32"/>
        </w:rPr>
        <w:t>初始</w:t>
      </w:r>
      <w:r>
        <w:rPr>
          <w:rFonts w:ascii="仿宋_GB2312" w:hAnsi="仿宋" w:eastAsia="仿宋_GB2312"/>
          <w:color w:val="auto"/>
          <w:sz w:val="32"/>
          <w:szCs w:val="32"/>
        </w:rPr>
        <w:t>密码</w:t>
      </w:r>
      <w:r>
        <w:rPr>
          <w:rFonts w:hint="eastAsia" w:ascii="仿宋_GB2312" w:hAnsi="仿宋" w:eastAsia="仿宋_GB2312"/>
          <w:color w:val="auto"/>
          <w:sz w:val="32"/>
          <w:szCs w:val="32"/>
        </w:rPr>
        <w:t>加入联络</w:t>
      </w:r>
      <w:r>
        <w:rPr>
          <w:rFonts w:ascii="仿宋_GB2312" w:hAnsi="仿宋" w:eastAsia="仿宋_GB2312"/>
          <w:color w:val="auto"/>
          <w:sz w:val="32"/>
          <w:szCs w:val="32"/>
        </w:rPr>
        <w:t>群后咨询</w:t>
      </w:r>
      <w:r>
        <w:rPr>
          <w:rFonts w:hint="eastAsia" w:ascii="仿宋_GB2312" w:hAnsi="仿宋" w:eastAsia="仿宋_GB2312"/>
          <w:color w:val="auto"/>
          <w:sz w:val="32"/>
          <w:szCs w:val="32"/>
        </w:rPr>
        <w:t>工作</w:t>
      </w:r>
      <w:r>
        <w:rPr>
          <w:rFonts w:ascii="仿宋_GB2312" w:hAnsi="仿宋" w:eastAsia="仿宋_GB2312"/>
          <w:color w:val="auto"/>
          <w:sz w:val="32"/>
          <w:szCs w:val="32"/>
        </w:rPr>
        <w:t>人员</w:t>
      </w:r>
      <w:r>
        <w:rPr>
          <w:rFonts w:hint="eastAsia" w:ascii="仿宋_GB2312" w:hAnsi="仿宋" w:eastAsia="仿宋_GB2312"/>
          <w:color w:val="auto"/>
          <w:sz w:val="32"/>
          <w:szCs w:val="32"/>
        </w:rPr>
        <w:t>。各参赛代表队指定专人负责本参赛代表队的网上报名和作品材料上传工作，不接受参赛教师个人直接报名和作品材料上传。</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2.各参赛代表队于20</w:t>
      </w:r>
      <w:r>
        <w:rPr>
          <w:rFonts w:ascii="仿宋_GB2312" w:hAnsi="仿宋" w:eastAsia="仿宋_GB2312"/>
          <w:color w:val="auto"/>
          <w:sz w:val="32"/>
          <w:szCs w:val="32"/>
        </w:rPr>
        <w:t>2</w:t>
      </w:r>
      <w:r>
        <w:rPr>
          <w:rFonts w:hint="eastAsia" w:ascii="仿宋_GB2312" w:hAnsi="仿宋" w:eastAsia="仿宋_GB2312"/>
          <w:color w:val="auto"/>
          <w:sz w:val="32"/>
          <w:szCs w:val="32"/>
        </w:rPr>
        <w:t>2年5月6日前完成网上报名工作，并将《2022年</w:t>
      </w:r>
      <w:r>
        <w:rPr>
          <w:rFonts w:hint="eastAsia" w:ascii="仿宋_GB2312" w:eastAsia="仿宋_GB2312"/>
          <w:color w:val="auto"/>
          <w:sz w:val="32"/>
        </w:rPr>
        <w:t>福建省职业院校技能大赛教学能力比赛</w:t>
      </w:r>
      <w:r>
        <w:rPr>
          <w:rFonts w:hint="eastAsia" w:ascii="仿宋_GB2312" w:hAnsi="仿宋" w:eastAsia="仿宋_GB2312"/>
          <w:color w:val="auto"/>
          <w:sz w:val="32"/>
          <w:szCs w:val="32"/>
        </w:rPr>
        <w:t>参赛报名表》《2022年福建省职业院校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教学能力比赛参赛情况汇总表》《2022年福建省职业院校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教学能力比赛区域性比赛情况统计表》（附件3</w:t>
      </w:r>
      <w:r>
        <w:rPr>
          <w:rFonts w:ascii="仿宋_GB2312" w:hAnsi="仿宋" w:eastAsia="仿宋_GB2312"/>
          <w:color w:val="auto"/>
          <w:sz w:val="32"/>
          <w:szCs w:val="32"/>
        </w:rPr>
        <w:t>、</w:t>
      </w:r>
      <w:r>
        <w:rPr>
          <w:rFonts w:hint="eastAsia" w:ascii="仿宋_GB2312" w:hAnsi="仿宋" w:eastAsia="仿宋_GB2312"/>
          <w:color w:val="auto"/>
          <w:sz w:val="32"/>
          <w:szCs w:val="32"/>
        </w:rPr>
        <w:t>4、5</w:t>
      </w:r>
      <w:r>
        <w:rPr>
          <w:rFonts w:ascii="仿宋_GB2312" w:hAnsi="仿宋" w:eastAsia="仿宋_GB2312"/>
          <w:color w:val="auto"/>
          <w:sz w:val="32"/>
          <w:szCs w:val="32"/>
        </w:rPr>
        <w:t>）纸质</w:t>
      </w:r>
      <w:r>
        <w:rPr>
          <w:rFonts w:hint="eastAsia" w:ascii="仿宋_GB2312" w:hAnsi="仿宋" w:eastAsia="仿宋_GB2312"/>
          <w:color w:val="auto"/>
          <w:sz w:val="32"/>
          <w:szCs w:val="32"/>
        </w:rPr>
        <w:t>材料（加盖公章）于20</w:t>
      </w:r>
      <w:r>
        <w:rPr>
          <w:rFonts w:ascii="仿宋_GB2312" w:hAnsi="仿宋" w:eastAsia="仿宋_GB2312"/>
          <w:color w:val="auto"/>
          <w:sz w:val="32"/>
          <w:szCs w:val="32"/>
        </w:rPr>
        <w:t>2</w:t>
      </w:r>
      <w:r>
        <w:rPr>
          <w:rFonts w:hint="eastAsia" w:ascii="仿宋_GB2312" w:hAnsi="仿宋" w:eastAsia="仿宋_GB2312"/>
          <w:color w:val="auto"/>
          <w:sz w:val="32"/>
          <w:szCs w:val="32"/>
        </w:rPr>
        <w:t>2年5月13日前报送至省电教馆。</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3.各参赛代表队于2022年6月1</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日前，完成相关参赛作品材料的网上提交工作。</w:t>
      </w:r>
    </w:p>
    <w:p>
      <w:pPr>
        <w:pageBreakBefore w:val="0"/>
        <w:widowControl w:val="0"/>
        <w:wordWrap/>
        <w:topLinePunct w:val="0"/>
        <w:bidi w:val="0"/>
        <w:adjustRightInd w:val="0"/>
        <w:snapToGrid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（二）其他要求</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hint="eastAsia" w:ascii="仿宋_GB2312" w:hAnsi="仿宋" w:eastAsia="仿宋_GB2312"/>
          <w:color w:val="auto"/>
          <w:sz w:val="32"/>
          <w:szCs w:val="32"/>
        </w:rPr>
        <w:t>1.</w:t>
      </w:r>
      <w:r>
        <w:rPr>
          <w:rFonts w:hint="eastAsia" w:ascii="仿宋_GB2312" w:eastAsia="仿宋_GB2312"/>
          <w:color w:val="auto"/>
          <w:sz w:val="32"/>
        </w:rPr>
        <w:t>参赛作品应为原创，不得违反国家相关法律法规，不得侵犯他人知识产权，如引起知识产权异议或其他法律纠纷，责任自负。涉及软件使用的，应保证为正版软件</w:t>
      </w:r>
      <w:r>
        <w:rPr>
          <w:rFonts w:hint="eastAsia" w:ascii="仿宋_GB2312" w:eastAsia="仿宋_GB2312"/>
          <w:color w:val="auto"/>
          <w:sz w:val="32"/>
          <w:szCs w:val="32"/>
        </w:rPr>
        <w:t>，鼓励使用国产软件（自主可控）</w:t>
      </w:r>
      <w:r>
        <w:rPr>
          <w:rFonts w:hint="eastAsia" w:ascii="仿宋_GB2312" w:eastAsia="仿宋_GB2312"/>
          <w:color w:val="auto"/>
          <w:sz w:val="32"/>
        </w:rPr>
        <w:t>。除教学团队事前特别声明外，省教育厅拥有对参赛作品进行公益性共享的权利。</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hint="eastAsia" w:ascii="仿宋_GB2312" w:eastAsia="仿宋_GB2312"/>
          <w:color w:val="auto"/>
          <w:sz w:val="32"/>
        </w:rPr>
        <w:t>2.各参赛代表队应认真做好审核工作，核对专业备案、人才培养方案网上公示、课程开设、授课班级人数、教学团队成员身份的真实性、实际授课等情况，并附相关佐证材料；同时，认真检查参赛作品材料是否泄露信息，除《参赛报名表》《参赛汇总表》之外，所有参赛作品材料（含文件名及其属性）和决赛的介绍、教学、答辩，均不得泄露地区、学校名称、参赛教师姓名。故意透露相关信息的，取消其参赛资格。</w:t>
      </w:r>
    </w:p>
    <w:p>
      <w:pPr>
        <w:pageBreakBefore w:val="0"/>
        <w:widowControl w:val="0"/>
        <w:wordWrap/>
        <w:overflowPunct w:val="0"/>
        <w:topLinePunct w:val="0"/>
        <w:bidi w:val="0"/>
        <w:spacing w:line="580" w:lineRule="exact"/>
        <w:ind w:firstLine="640" w:firstLineChars="200"/>
        <w:textAlignment w:val="auto"/>
        <w:rPr>
          <w:rFonts w:ascii="仿宋_GB2312" w:eastAsia="仿宋_GB2312"/>
          <w:color w:val="auto"/>
          <w:sz w:val="32"/>
        </w:rPr>
      </w:pPr>
      <w:r>
        <w:rPr>
          <w:rFonts w:hint="eastAsia" w:ascii="仿宋_GB2312" w:eastAsia="仿宋_GB2312"/>
          <w:color w:val="auto"/>
          <w:sz w:val="32"/>
        </w:rPr>
        <w:t>3.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所在代表队下一年参赛名额，暂停参赛教学团队所在学校下一年的参赛资格，并通报处理。</w:t>
      </w:r>
    </w:p>
    <w:p>
      <w:pPr>
        <w:pStyle w:val="2"/>
        <w:pageBreakBefore w:val="0"/>
        <w:widowControl w:val="0"/>
        <w:wordWrap/>
        <w:topLinePunct w:val="0"/>
        <w:bidi w:val="0"/>
        <w:spacing w:before="0" w:after="0" w:line="580" w:lineRule="exact"/>
        <w:ind w:firstLine="640" w:firstLineChars="200"/>
        <w:textAlignment w:val="auto"/>
        <w:rPr>
          <w:rFonts w:hint="eastAsia" w:ascii="黑体" w:hAnsi="黑体" w:eastAsia="黑体"/>
          <w:b w:val="0"/>
          <w:bCs w:val="0"/>
          <w:color w:val="auto"/>
          <w:lang w:eastAsia="zh-CN"/>
        </w:rPr>
      </w:pPr>
      <w:r>
        <w:rPr>
          <w:rFonts w:hint="eastAsia" w:ascii="黑体" w:hAnsi="黑体"/>
          <w:b w:val="0"/>
          <w:bCs w:val="0"/>
          <w:color w:val="auto"/>
          <w:lang w:eastAsia="zh-CN"/>
        </w:rPr>
        <w:t>九</w:t>
      </w:r>
      <w:r>
        <w:rPr>
          <w:rFonts w:hint="eastAsia" w:ascii="黑体" w:hAnsi="黑体"/>
          <w:b w:val="0"/>
          <w:bCs w:val="0"/>
          <w:color w:val="auto"/>
        </w:rPr>
        <w:t>、</w:t>
      </w:r>
      <w:r>
        <w:rPr>
          <w:rFonts w:hint="eastAsia" w:ascii="黑体" w:hAnsi="黑体"/>
          <w:b w:val="0"/>
          <w:bCs w:val="0"/>
          <w:color w:val="auto"/>
          <w:lang w:eastAsia="zh-CN"/>
        </w:rPr>
        <w:t>疫情防控要求及</w:t>
      </w:r>
      <w:r>
        <w:rPr>
          <w:rFonts w:hint="eastAsia" w:ascii="黑体" w:hAnsi="黑体"/>
          <w:b w:val="0"/>
          <w:bCs w:val="0"/>
          <w:color w:val="auto"/>
        </w:rPr>
        <w:t>其他</w:t>
      </w:r>
      <w:r>
        <w:rPr>
          <w:rFonts w:hint="eastAsia" w:ascii="黑体" w:hAnsi="黑体"/>
          <w:b w:val="0"/>
          <w:bCs w:val="0"/>
          <w:color w:val="auto"/>
          <w:lang w:eastAsia="zh-CN"/>
        </w:rPr>
        <w:t>事项</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1.本次全省大赛</w:t>
      </w:r>
      <w:r>
        <w:rPr>
          <w:rFonts w:hint="eastAsia" w:ascii="仿宋_GB2312" w:hAnsi="仿宋" w:eastAsia="仿宋_GB2312"/>
          <w:color w:val="auto"/>
          <w:sz w:val="32"/>
          <w:szCs w:val="32"/>
          <w:lang w:eastAsia="zh-CN"/>
        </w:rPr>
        <w:t>由</w:t>
      </w:r>
      <w:r>
        <w:rPr>
          <w:rFonts w:hint="eastAsia" w:ascii="仿宋_GB2312" w:hAnsi="仿宋" w:eastAsia="仿宋_GB2312"/>
          <w:color w:val="auto"/>
          <w:sz w:val="32"/>
          <w:szCs w:val="32"/>
        </w:rPr>
        <w:t>省电化教育馆、福建信息职业技术学院承办，省职业技术教育学会协办。决赛时间拟定于7月</w:t>
      </w:r>
      <w:r>
        <w:rPr>
          <w:rFonts w:hint="eastAsia" w:ascii="仿宋_GB2312" w:hAnsi="仿宋" w:eastAsia="仿宋_GB2312"/>
          <w:color w:val="auto"/>
          <w:sz w:val="32"/>
          <w:szCs w:val="32"/>
          <w:lang w:eastAsia="zh-CN"/>
        </w:rPr>
        <w:t>中</w:t>
      </w:r>
      <w:r>
        <w:rPr>
          <w:rFonts w:hint="eastAsia" w:ascii="仿宋_GB2312" w:hAnsi="仿宋" w:eastAsia="仿宋_GB2312"/>
          <w:color w:val="auto"/>
          <w:sz w:val="32"/>
          <w:szCs w:val="32"/>
        </w:rPr>
        <w:t>旬</w:t>
      </w:r>
      <w:r>
        <w:rPr>
          <w:rFonts w:hint="eastAsia" w:ascii="仿宋_GB2312" w:hAnsi="仿宋" w:eastAsia="仿宋_GB2312"/>
          <w:color w:val="auto"/>
          <w:sz w:val="32"/>
          <w:szCs w:val="32"/>
          <w:lang w:eastAsia="zh-CN"/>
        </w:rPr>
        <w:t>举行</w:t>
      </w:r>
      <w:r>
        <w:rPr>
          <w:rFonts w:hint="eastAsia" w:ascii="仿宋_GB2312" w:hAnsi="仿宋" w:eastAsia="仿宋_GB2312"/>
          <w:color w:val="auto"/>
          <w:sz w:val="32"/>
          <w:szCs w:val="32"/>
        </w:rPr>
        <w:t>，</w:t>
      </w:r>
      <w:r>
        <w:rPr>
          <w:rFonts w:hint="eastAsia" w:ascii="仿宋_GB2312" w:hAnsi="仿宋" w:eastAsia="仿宋_GB2312"/>
          <w:bCs/>
          <w:color w:val="auto"/>
          <w:sz w:val="32"/>
          <w:szCs w:val="32"/>
          <w:lang w:eastAsia="zh-CN"/>
        </w:rPr>
        <w:t>承办院校要制定疫情防控方案，并报属地备案，加强与当地疫情防控部门密切沟通联系，确保整体赛事顺利进行。</w:t>
      </w:r>
      <w:r>
        <w:rPr>
          <w:rFonts w:hint="eastAsia" w:ascii="仿宋_GB2312" w:hAnsi="仿宋_GB2312" w:eastAsia="仿宋_GB2312" w:cs="仿宋_GB2312"/>
          <w:color w:val="auto"/>
          <w:szCs w:val="32"/>
          <w:lang w:eastAsia="zh-CN"/>
        </w:rPr>
        <w:t>决赛</w:t>
      </w:r>
      <w:r>
        <w:rPr>
          <w:rFonts w:hint="eastAsia" w:ascii="仿宋_GB2312" w:hAnsi="仿宋" w:eastAsia="仿宋_GB2312"/>
          <w:color w:val="auto"/>
          <w:sz w:val="32"/>
          <w:szCs w:val="32"/>
        </w:rPr>
        <w:t>具体事宜另行通知，有关信息将在福建职业教育与终身教育网上公布。请参赛代表队确定一名大赛联络员，及时加入福建教学能力比赛联络群（QQ群号码：696564744）。</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2.为更好服务我省职业院校技能大赛教学能力比赛工作，提高</w:t>
      </w:r>
      <w:r>
        <w:rPr>
          <w:rFonts w:hint="eastAsia" w:ascii="仿宋_GB2312" w:hAnsi="仿宋" w:eastAsia="仿宋_GB2312"/>
          <w:color w:val="auto"/>
          <w:sz w:val="32"/>
          <w:szCs w:val="32"/>
          <w:lang w:eastAsia="zh-CN"/>
        </w:rPr>
        <w:t>办赛</w:t>
      </w:r>
      <w:r>
        <w:rPr>
          <w:rFonts w:hint="eastAsia" w:ascii="仿宋_GB2312" w:hAnsi="仿宋" w:eastAsia="仿宋_GB2312"/>
          <w:color w:val="auto"/>
          <w:sz w:val="32"/>
          <w:szCs w:val="32"/>
        </w:rPr>
        <w:t>水平，决定面向</w:t>
      </w:r>
      <w:r>
        <w:rPr>
          <w:rFonts w:hint="eastAsia" w:ascii="仿宋_GB2312" w:hAnsi="仿宋" w:eastAsia="仿宋_GB2312"/>
          <w:color w:val="auto"/>
          <w:sz w:val="32"/>
          <w:szCs w:val="32"/>
          <w:lang w:eastAsia="zh-CN"/>
        </w:rPr>
        <w:t>学校和</w:t>
      </w:r>
      <w:r>
        <w:rPr>
          <w:rFonts w:hint="eastAsia" w:ascii="仿宋_GB2312" w:hAnsi="仿宋" w:eastAsia="仿宋_GB2312"/>
          <w:color w:val="auto"/>
          <w:sz w:val="32"/>
          <w:szCs w:val="32"/>
        </w:rPr>
        <w:t>有关单位征集专家加入“福建省职业院校技能大赛教学能力比赛专家库”</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具体事宜见附件6</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szCs w:val="32"/>
        </w:rPr>
        <w:t>各设区市教育局、平潭综合实验区社会事业局负责汇总所属中职学校推荐名单，各高等学校、省属中职学校、省属单位直接推荐，请于3月31日前将相关材料报送到指定邮箱。</w:t>
      </w: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3.省教育厅职成处联系人：黄颖，电话：0591-87091243;</w:t>
      </w:r>
    </w:p>
    <w:p>
      <w:pPr>
        <w:pageBreakBefore w:val="0"/>
        <w:widowControl w:val="0"/>
        <w:wordWrap/>
        <w:topLinePunct w:val="0"/>
        <w:bidi w:val="0"/>
        <w:adjustRightInd w:val="0"/>
        <w:snapToGrid w:val="0"/>
        <w:spacing w:line="580" w:lineRule="exact"/>
        <w:ind w:firstLine="640" w:firstLineChars="200"/>
        <w:textAlignment w:val="auto"/>
        <w:rPr>
          <w:color w:val="auto"/>
        </w:rPr>
      </w:pPr>
      <w:r>
        <w:rPr>
          <w:rFonts w:hint="eastAsia" w:ascii="仿宋_GB2312" w:hAnsi="仿宋" w:eastAsia="仿宋_GB2312"/>
          <w:color w:val="auto"/>
          <w:sz w:val="32"/>
          <w:szCs w:val="32"/>
        </w:rPr>
        <w:t>省电教馆联系人：张航，电话：0591-62721034,电子邮箱：49089918</w:t>
      </w:r>
      <w:r>
        <w:rPr>
          <w:rFonts w:hint="eastAsia" w:ascii="宋体" w:hAnsi="宋体" w:cs="宋体"/>
          <w:color w:val="auto"/>
          <w:sz w:val="32"/>
          <w:szCs w:val="32"/>
        </w:rPr>
        <w:t>5@</w:t>
      </w:r>
      <w:r>
        <w:rPr>
          <w:rFonts w:hint="eastAsia" w:ascii="仿宋_GB2312" w:hAnsi="仿宋" w:eastAsia="仿宋_GB2312"/>
          <w:color w:val="auto"/>
          <w:sz w:val="32"/>
          <w:szCs w:val="32"/>
        </w:rPr>
        <w:t>qq.com,地址：福州市五四路217号省电教馆503(邮编：350003)。</w:t>
      </w:r>
    </w:p>
    <w:p>
      <w:pPr>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 w:eastAsia="仿宋_GB2312"/>
          <w:color w:val="auto"/>
          <w:sz w:val="32"/>
          <w:szCs w:val="32"/>
        </w:rPr>
      </w:pPr>
    </w:p>
    <w:p>
      <w:pPr>
        <w:pageBreakBefore w:val="0"/>
        <w:widowControl w:val="0"/>
        <w:wordWrap/>
        <w:topLinePunct w:val="0"/>
        <w:bidi w:val="0"/>
        <w:adjustRightInd w:val="0"/>
        <w:snapToGrid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szCs w:val="32"/>
        </w:rPr>
        <w:t>附件：1.2022年福建省职业院校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w:t>
      </w:r>
    </w:p>
    <w:p>
      <w:pPr>
        <w:pageBreakBefore w:val="0"/>
        <w:widowControl w:val="0"/>
        <w:wordWrap/>
        <w:topLinePunct w:val="0"/>
        <w:bidi w:val="0"/>
        <w:adjustRightInd w:val="0"/>
        <w:snapToGrid w:val="0"/>
        <w:spacing w:line="58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参赛作品材料及现场比赛要求</w:t>
      </w:r>
    </w:p>
    <w:p>
      <w:pPr>
        <w:pageBreakBefore w:val="0"/>
        <w:widowControl w:val="0"/>
        <w:wordWrap/>
        <w:topLinePunct w:val="0"/>
        <w:bidi w:val="0"/>
        <w:adjustRightInd w:val="0"/>
        <w:snapToGrid w:val="0"/>
        <w:spacing w:line="580" w:lineRule="exact"/>
        <w:ind w:firstLine="1600" w:firstLineChars="500"/>
        <w:textAlignment w:val="auto"/>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w:t>
      </w:r>
    </w:p>
    <w:p>
      <w:pPr>
        <w:pageBreakBefore w:val="0"/>
        <w:widowControl w:val="0"/>
        <w:wordWrap/>
        <w:topLinePunct w:val="0"/>
        <w:bidi w:val="0"/>
        <w:adjustRightInd w:val="0"/>
        <w:snapToGrid w:val="0"/>
        <w:spacing w:line="58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评分指标</w:t>
      </w:r>
    </w:p>
    <w:p>
      <w:pPr>
        <w:pageBreakBefore w:val="0"/>
        <w:widowControl w:val="0"/>
        <w:wordWrap/>
        <w:topLinePunct w:val="0"/>
        <w:bidi w:val="0"/>
        <w:adjustRightInd w:val="0"/>
        <w:snapToGrid w:val="0"/>
        <w:spacing w:line="580" w:lineRule="exact"/>
        <w:ind w:firstLine="1600" w:firstLineChars="5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w:t>
      </w:r>
      <w:r>
        <w:rPr>
          <w:rFonts w:ascii="仿宋_GB2312" w:hAnsi="仿宋" w:eastAsia="仿宋_GB2312"/>
          <w:color w:val="auto"/>
          <w:sz w:val="32"/>
          <w:szCs w:val="32"/>
        </w:rPr>
        <w:t>.</w:t>
      </w:r>
      <w:r>
        <w:rPr>
          <w:rFonts w:hint="eastAsia" w:ascii="仿宋_GB2312" w:hAnsi="仿宋" w:eastAsia="仿宋_GB2312"/>
          <w:color w:val="auto"/>
          <w:sz w:val="32"/>
          <w:szCs w:val="32"/>
        </w:rPr>
        <w:t>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w:t>
      </w:r>
    </w:p>
    <w:p>
      <w:pPr>
        <w:pageBreakBefore w:val="0"/>
        <w:widowControl w:val="0"/>
        <w:wordWrap/>
        <w:topLinePunct w:val="0"/>
        <w:bidi w:val="0"/>
        <w:adjustRightInd w:val="0"/>
        <w:snapToGrid w:val="0"/>
        <w:spacing w:line="58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参赛报名表</w:t>
      </w:r>
    </w:p>
    <w:p>
      <w:pPr>
        <w:pageBreakBefore w:val="0"/>
        <w:widowControl w:val="0"/>
        <w:wordWrap/>
        <w:topLinePunct w:val="0"/>
        <w:bidi w:val="0"/>
        <w:adjustRightInd w:val="0"/>
        <w:snapToGrid w:val="0"/>
        <w:spacing w:line="580" w:lineRule="exact"/>
        <w:ind w:firstLine="1600" w:firstLineChars="500"/>
        <w:textAlignment w:val="auto"/>
        <w:rPr>
          <w:rFonts w:ascii="仿宋_GB2312" w:hAnsi="仿宋"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color w:val="auto"/>
          <w:sz w:val="32"/>
          <w:szCs w:val="32"/>
        </w:rPr>
        <w:t>.2022年福建省职业院校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w:t>
      </w:r>
    </w:p>
    <w:p>
      <w:pPr>
        <w:pageBreakBefore w:val="0"/>
        <w:widowControl w:val="0"/>
        <w:wordWrap/>
        <w:topLinePunct w:val="0"/>
        <w:bidi w:val="0"/>
        <w:adjustRightInd w:val="0"/>
        <w:snapToGrid w:val="0"/>
        <w:spacing w:line="58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参赛情况汇总表</w:t>
      </w:r>
    </w:p>
    <w:p>
      <w:pPr>
        <w:pageBreakBefore w:val="0"/>
        <w:widowControl w:val="0"/>
        <w:wordWrap/>
        <w:topLinePunct w:val="0"/>
        <w:bidi w:val="0"/>
        <w:adjustRightInd w:val="0"/>
        <w:snapToGrid w:val="0"/>
        <w:spacing w:line="580" w:lineRule="exact"/>
        <w:ind w:firstLine="1600" w:firstLineChars="500"/>
        <w:textAlignment w:val="auto"/>
        <w:rPr>
          <w:rFonts w:ascii="仿宋_GB2312" w:hAnsi="仿宋" w:eastAsia="仿宋_GB2312"/>
          <w:color w:val="auto"/>
          <w:sz w:val="32"/>
          <w:szCs w:val="32"/>
        </w:rPr>
      </w:pPr>
      <w:r>
        <w:rPr>
          <w:rFonts w:ascii="仿宋_GB2312" w:hAnsi="仿宋" w:eastAsia="仿宋_GB2312"/>
          <w:color w:val="auto"/>
          <w:sz w:val="32"/>
          <w:szCs w:val="32"/>
        </w:rPr>
        <w:t>5</w:t>
      </w:r>
      <w:r>
        <w:rPr>
          <w:rFonts w:hint="eastAsia" w:ascii="仿宋_GB2312" w:hAnsi="仿宋" w:eastAsia="仿宋_GB2312"/>
          <w:color w:val="auto"/>
          <w:sz w:val="32"/>
          <w:szCs w:val="32"/>
        </w:rPr>
        <w:t>.2022年福建省职业院校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w:t>
      </w:r>
    </w:p>
    <w:p>
      <w:pPr>
        <w:pageBreakBefore w:val="0"/>
        <w:widowControl w:val="0"/>
        <w:wordWrap/>
        <w:topLinePunct w:val="0"/>
        <w:bidi w:val="0"/>
        <w:adjustRightInd w:val="0"/>
        <w:snapToGrid w:val="0"/>
        <w:spacing w:line="58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区域性比赛情况统计表</w:t>
      </w:r>
    </w:p>
    <w:p>
      <w:pPr>
        <w:keepNext w:val="0"/>
        <w:keepLines w:val="0"/>
        <w:pageBreakBefore w:val="0"/>
        <w:widowControl w:val="0"/>
        <w:kinsoku/>
        <w:wordWrap/>
        <w:overflowPunct/>
        <w:topLinePunct w:val="0"/>
        <w:autoSpaceDE/>
        <w:autoSpaceDN/>
        <w:bidi w:val="0"/>
        <w:adjustRightInd/>
        <w:snapToGrid/>
        <w:spacing w:line="580" w:lineRule="exact"/>
        <w:ind w:left="1920" w:leftChars="500" w:hanging="320" w:hangingChars="100"/>
        <w:textAlignment w:val="auto"/>
        <w:rPr>
          <w:rFonts w:hint="eastAsia" w:ascii="仿宋_GB2312" w:hAnsi="仿宋_GB2312" w:eastAsia="仿宋_GB2312" w:cs="仿宋_GB2312"/>
          <w:sz w:val="32"/>
          <w:szCs w:val="32"/>
          <w:lang w:val="en-US" w:eastAsia="zh-CN"/>
        </w:rPr>
      </w:pPr>
      <w:r>
        <w:rPr>
          <w:rFonts w:ascii="仿宋_GB2312" w:hAnsi="仿宋" w:eastAsia="仿宋_GB2312"/>
          <w:color w:val="auto"/>
          <w:sz w:val="32"/>
          <w:szCs w:val="32"/>
        </w:rPr>
        <w:t>6</w:t>
      </w:r>
      <w:r>
        <w:rPr>
          <w:rFonts w:hint="eastAsia" w:ascii="仿宋_GB2312" w:hAnsi="仿宋" w:eastAsia="仿宋_GB2312"/>
          <w:color w:val="auto"/>
          <w:sz w:val="32"/>
          <w:szCs w:val="32"/>
        </w:rPr>
        <w:t>.关于2022年福建省职业院校技能大赛教学能力比赛专家库人选推荐要求</w:t>
      </w:r>
    </w:p>
    <w:bookmarkEnd w:id="4"/>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2"/>
        <w:wordWrap/>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福建省教育厅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bookmarkStart w:id="6" w:name="REPE_Issuetime"/>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End w:id="6"/>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此件</w:t>
      </w:r>
      <w:bookmarkStart w:id="7" w:name="publicpropertyid"/>
      <w:r>
        <w:rPr>
          <w:rFonts w:hint="eastAsia" w:ascii="仿宋_GB2312" w:hAnsi="仿宋_GB2312" w:eastAsia="仿宋_GB2312" w:cs="仿宋_GB2312"/>
          <w:sz w:val="32"/>
          <w:szCs w:val="32"/>
          <w:lang w:eastAsia="zh-CN"/>
        </w:rPr>
        <w:t>主动公开</w:t>
      </w:r>
      <w:bookmarkEnd w:id="7"/>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hint="eastAsia" w:ascii="黑体" w:hAnsi="黑体" w:eastAsia="黑体" w:cs="黑体"/>
          <w:color w:val="auto"/>
          <w:kern w:val="0"/>
          <w:sz w:val="32"/>
          <w:szCs w:val="32"/>
        </w:rPr>
      </w:pPr>
    </w:p>
    <w:p>
      <w:pPr>
        <w:widowControl/>
        <w:shd w:val="clear" w:color="auto" w:fill="FFFFFF"/>
        <w:spacing w:line="600" w:lineRule="exact"/>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widowControl/>
        <w:shd w:val="clear" w:color="auto" w:fill="FFFFFF"/>
        <w:spacing w:line="580" w:lineRule="exact"/>
        <w:jc w:val="left"/>
        <w:rPr>
          <w:rFonts w:ascii="黑体" w:hAnsi="黑体" w:eastAsia="黑体" w:cs="黑体"/>
          <w:color w:val="auto"/>
          <w:kern w:val="0"/>
          <w:sz w:val="32"/>
          <w:szCs w:val="32"/>
        </w:rPr>
      </w:pPr>
    </w:p>
    <w:p>
      <w:pPr>
        <w:widowControl/>
        <w:shd w:val="clear" w:color="auto" w:fill="FFFFFF"/>
        <w:spacing w:line="580" w:lineRule="exact"/>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2022年福建省职业院校技能大赛教学能力比赛</w:t>
      </w:r>
    </w:p>
    <w:p>
      <w:pPr>
        <w:widowControl/>
        <w:shd w:val="clear" w:color="auto" w:fill="FFFFFF"/>
        <w:spacing w:line="580" w:lineRule="exact"/>
        <w:jc w:val="center"/>
        <w:rPr>
          <w:rFonts w:ascii="方正小标宋简体" w:hAnsi="方正小标宋简体" w:eastAsia="方正小标宋简体" w:cs="方正小标宋简体"/>
          <w:bCs/>
          <w:color w:val="auto"/>
          <w:spacing w:val="-4"/>
          <w:sz w:val="36"/>
          <w:szCs w:val="36"/>
        </w:rPr>
      </w:pPr>
      <w:r>
        <w:rPr>
          <w:rFonts w:hint="eastAsia" w:ascii="方正小标宋简体" w:hAnsi="方正小标宋简体" w:eastAsia="方正小标宋简体" w:cs="方正小标宋简体"/>
          <w:bCs/>
          <w:color w:val="auto"/>
          <w:kern w:val="0"/>
          <w:sz w:val="36"/>
          <w:szCs w:val="36"/>
        </w:rPr>
        <w:t>参赛作品材料及</w:t>
      </w:r>
      <w:r>
        <w:rPr>
          <w:rFonts w:hint="eastAsia" w:ascii="方正小标宋简体" w:hAnsi="方正小标宋简体" w:eastAsia="方正小标宋简体" w:cs="方正小标宋简体"/>
          <w:bCs/>
          <w:color w:val="auto"/>
          <w:spacing w:val="-4"/>
          <w:sz w:val="36"/>
          <w:szCs w:val="36"/>
        </w:rPr>
        <w:t>决赛有关要求</w:t>
      </w:r>
    </w:p>
    <w:p>
      <w:pPr>
        <w:autoSpaceDE w:val="0"/>
        <w:autoSpaceDN w:val="0"/>
        <w:adjustRightInd w:val="0"/>
        <w:spacing w:line="560" w:lineRule="exact"/>
        <w:ind w:firstLine="640" w:firstLineChars="200"/>
        <w:rPr>
          <w:rFonts w:ascii="黑体" w:hAnsi="黑体" w:eastAsia="黑体" w:cs="黑体"/>
          <w:color w:val="auto"/>
          <w:kern w:val="0"/>
          <w:sz w:val="32"/>
          <w:szCs w:val="32"/>
        </w:rPr>
      </w:pPr>
    </w:p>
    <w:p>
      <w:pPr>
        <w:autoSpaceDE w:val="0"/>
        <w:autoSpaceDN w:val="0"/>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一、参赛作品文档材料</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所有文档材料均要求规范、简明、完整、朴实，正文使用小四号字、单倍行距，禁用以装饰为目的的图片或照片，以PDF格式提交，每个文件大小不超过100M。</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（一）参赛教案</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学团队根据提交的专业人才培养方案和课程标准，选取该课程在一个学期中符合规定的教学任务作为参赛作品（作品名称应为课程标准中具体、明确的模块、单元或任务），撰写实际使用的教案。教案应包括授课信息、任务目标、学情分析、活动安排、课后反思等教学基本要素，要求设计合理、重点突出、前后衔接、规范完整、详略得当，体现具体的教学内容、活动及安排（其内容占主要篇幅），能够有效指导教学活动的实施，课后对授课实效、存在不足、改进设想进行客观深入反思。</w:t>
      </w:r>
      <w:bookmarkStart w:id="8" w:name="_Hlk36506197"/>
      <w:r>
        <w:rPr>
          <w:rFonts w:hint="eastAsia" w:ascii="仿宋_GB2312" w:hAnsi="仿宋_GB2312" w:eastAsia="仿宋_GB2312" w:cs="仿宋_GB2312"/>
          <w:color w:val="auto"/>
          <w:kern w:val="0"/>
          <w:sz w:val="32"/>
          <w:szCs w:val="32"/>
        </w:rPr>
        <w:t>原则上每份教案的教学内容不超过2学时，实践性教学环节的教学内容可以不超过4学时</w:t>
      </w:r>
      <w:bookmarkEnd w:id="8"/>
      <w:r>
        <w:rPr>
          <w:rFonts w:hint="eastAsia" w:ascii="仿宋_GB2312" w:hAnsi="仿宋_GB2312" w:eastAsia="仿宋_GB2312" w:cs="仿宋_GB2312"/>
          <w:color w:val="auto"/>
          <w:kern w:val="0"/>
          <w:sz w:val="32"/>
          <w:szCs w:val="32"/>
        </w:rPr>
        <w:t>。每件参赛作品的全部教案（无需附加其他内容）按序逐一标明序号，合并为一个文件提交。（即一个参赛作品仅一个教案文档，以参赛作品名称命名，且教案文档中的每份教案命名按照教案序号+教学活动名称，如：【教案4】健身与养生）。</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（二）教学实施报告</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学团队在完成教学设计和实施之后，撰写1份教学实施报告。报告应梳理总结参赛作品的教学整体设计、教学实施过程、学生学习效果、反思改进措施等方面情况，突出重点和特色，体现创新举措和具体成效，可用图表加以佐证。</w:t>
      </w:r>
      <w:bookmarkStart w:id="9" w:name="_Hlk36506264"/>
      <w:r>
        <w:rPr>
          <w:rFonts w:hint="eastAsia" w:ascii="仿宋_GB2312" w:hAnsi="仿宋_GB2312" w:eastAsia="仿宋_GB2312" w:cs="仿宋_GB2312"/>
          <w:color w:val="auto"/>
          <w:kern w:val="0"/>
          <w:sz w:val="32"/>
          <w:szCs w:val="32"/>
        </w:rPr>
        <w:t>中文字符在5000字</w:t>
      </w:r>
      <w:bookmarkEnd w:id="9"/>
      <w:r>
        <w:rPr>
          <w:rFonts w:hint="eastAsia" w:ascii="仿宋_GB2312" w:hAnsi="仿宋_GB2312" w:eastAsia="仿宋_GB2312" w:cs="仿宋_GB2312"/>
          <w:color w:val="auto"/>
          <w:kern w:val="0"/>
          <w:sz w:val="32"/>
          <w:szCs w:val="32"/>
        </w:rPr>
        <w:t>以内（文末注明正文“中文字符统计数”），插入的图表应有针对性、有效性，尺寸合适、清晰可见，一般不超过12张。</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（三）专业人才培养方案</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学团队提交学校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和《教育部关于印发&lt;职业教育专业目录（2021年）&gt;的通知》（教职成〔2021〕2号）有关要求修订完善。参赛内容为公共基础课程的，只需提交实际开设该课程的其中一个专业的人才培养方案；跨校组建的教学团队，只需提交团队某一成员所在学校的专业人才培养方案。</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（四）课程标准</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学团队提交参赛作品实际使用的课程标准。课程标准应依据职业教育国家教学标准体系，按照专业人才培养方案的相关标准要求科学规范制定，明确课程性质与任务、课程目标与要求、课程结构与内容、学生考核与评价、教学实施与保障、授课进程与安排等，并附某一班级授课计划表（注明授课日期、学时）。多个授课班级只需</w:t>
      </w:r>
      <w:bookmarkStart w:id="10" w:name="_Hlk44365974"/>
      <w:r>
        <w:rPr>
          <w:rFonts w:hint="eastAsia" w:ascii="仿宋_GB2312" w:hAnsi="仿宋_GB2312" w:eastAsia="仿宋_GB2312" w:cs="仿宋_GB2312"/>
          <w:color w:val="auto"/>
          <w:kern w:val="0"/>
          <w:sz w:val="32"/>
          <w:szCs w:val="32"/>
        </w:rPr>
        <w:t>提交其中一份</w:t>
      </w:r>
      <w:bookmarkEnd w:id="10"/>
      <w:r>
        <w:rPr>
          <w:rFonts w:hint="eastAsia" w:ascii="仿宋_GB2312" w:hAnsi="仿宋_GB2312" w:eastAsia="仿宋_GB2312" w:cs="仿宋_GB2312"/>
          <w:color w:val="auto"/>
          <w:kern w:val="0"/>
          <w:sz w:val="32"/>
          <w:szCs w:val="32"/>
        </w:rPr>
        <w:t>课程标准；跨校组建的教学团队，只需提交团队中某一成员所在学校的课程标准。</w:t>
      </w:r>
    </w:p>
    <w:p>
      <w:pPr>
        <w:autoSpaceDE w:val="0"/>
        <w:autoSpaceDN w:val="0"/>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二、参赛作品视频材料</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教学团队成员按照教学设计实施课堂教学（含实训、实习），录制3—4段课堂实录视频（每位团队成员不少于1段</w:t>
      </w:r>
      <w:bookmarkStart w:id="11" w:name="_Hlk36506402"/>
      <w:r>
        <w:rPr>
          <w:rFonts w:hint="eastAsia" w:ascii="仿宋_GB2312" w:hAnsi="仿宋_GB2312" w:eastAsia="仿宋_GB2312" w:cs="仿宋_GB2312"/>
          <w:color w:val="auto"/>
          <w:kern w:val="0"/>
          <w:sz w:val="32"/>
          <w:szCs w:val="32"/>
        </w:rPr>
        <w:t>），应在实际教学（含顶岗实习）场所拍摄</w:t>
      </w:r>
      <w:bookmarkEnd w:id="11"/>
      <w:r>
        <w:rPr>
          <w:rFonts w:hint="eastAsia" w:ascii="仿宋_GB2312" w:hAnsi="仿宋_GB2312" w:eastAsia="仿宋_GB2312" w:cs="仿宋_GB2312"/>
          <w:color w:val="auto"/>
          <w:kern w:val="0"/>
          <w:sz w:val="32"/>
          <w:szCs w:val="32"/>
        </w:rPr>
        <w:t>，参与教学的应是授课班级的全体学生（按照课程标准、教学实际等情况设计实施分班教学的需有专门说明）。课堂实录视频</w:t>
      </w:r>
      <w:bookmarkStart w:id="12" w:name="_Hlk36507284"/>
      <w:r>
        <w:rPr>
          <w:rFonts w:hint="eastAsia" w:ascii="仿宋_GB2312" w:hAnsi="仿宋_GB2312" w:eastAsia="仿宋_GB2312" w:cs="仿宋_GB2312"/>
          <w:color w:val="auto"/>
          <w:kern w:val="0"/>
          <w:sz w:val="32"/>
          <w:szCs w:val="32"/>
        </w:rPr>
        <w:t>每段时长8—15分钟，总时长控制在35—40分钟</w:t>
      </w:r>
      <w:bookmarkEnd w:id="12"/>
      <w:r>
        <w:rPr>
          <w:rFonts w:hint="eastAsia" w:ascii="仿宋_GB2312" w:hAnsi="仿宋_GB2312" w:eastAsia="仿宋_GB2312" w:cs="仿宋_GB2312"/>
          <w:color w:val="auto"/>
          <w:kern w:val="0"/>
          <w:sz w:val="32"/>
          <w:szCs w:val="32"/>
        </w:rPr>
        <w:t>；每段视频可自行选择教学场景，应分别完整、清晰地呈现参赛作品中内容相对独立完整、课程属性特质鲜明、反映团队成员教学风格的教学活动实况，杜绝过度包装。中职专业技能课程二组、高职专业课程二组参赛作品的视频中须包含不少于2段反映团队成员关键技术技能教学操作与示范的教学实况。</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课堂实录视频须采用单机方式全程连续录制，不得使用明显脱离课堂教学实际、片面追求拍摄效果、费用昂贵的技术与环境（比如虚拟演播系统、临时拼接大型LED显示屏等），不允许另行剪辑及配音，不加片头片尾、字幕注解，不得泄露地区、学校名称。采用MP4格式封装，每个文件大小不超过200M。每段视频文件以“教案序号+教学活动名称”分别命名，如：</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教案4】健身与养生。</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autoSpaceDE w:val="0"/>
        <w:autoSpaceDN w:val="0"/>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三、决赛程序</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（一）赛前准备</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1.入围决赛的教学团队赛前一天抽签决定场次。</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2.决赛当天，教学团队按抽签顺序进入备赛室，在参赛作品范围内随机抽定两份不同教案，自选其中部分内容进行准备。</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3.教学团队在备赛室可利用自带电脑、小型教具与网络资源进行准备，限时30分钟。</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（二）内容介绍与教学展示</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1.教学团队按时进入比赛室，首先</w:t>
      </w:r>
      <w:bookmarkStart w:id="13" w:name="_Hlk36506459"/>
      <w:r>
        <w:rPr>
          <w:rFonts w:hint="eastAsia" w:ascii="仿宋_GB2312" w:hAnsi="仿宋_GB2312" w:eastAsia="仿宋_GB2312" w:cs="仿宋_GB2312"/>
          <w:color w:val="auto"/>
          <w:kern w:val="0"/>
          <w:sz w:val="32"/>
          <w:szCs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3"/>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2.介绍教学实施报告时间不超过6分钟，两段无学生教学展示合计时间12—16分钟。期间另外安排换场准备，用时不超过5分钟。</w:t>
      </w:r>
    </w:p>
    <w:p>
      <w:pPr>
        <w:autoSpaceDE w:val="0"/>
        <w:autoSpaceDN w:val="0"/>
        <w:adjustRightInd w:val="0"/>
        <w:spacing w:line="560" w:lineRule="exact"/>
        <w:ind w:firstLine="643"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（三）答辩</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评委针对参赛作品材料、教学实施报告介绍和无学生教学展示，集体讨论提出3个问题（包括参赛作品所涉及的理念、策略、模式、目标、成效、创新点，以及学科、专业领域的素质、知识、技能等）。评委讨论时教学团队回避。</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教学团队针对屏幕呈现的问题（评委不再复述或解读、可以事先指定答题者），逐一回答并阐述个人观点（可以展示佐证资料），时间不超过8分钟（含读题审题），在时间允许的情况下，评委可以追问。原则上未参与内容介绍及教学展示的团队成员，必须参与答题。</w:t>
      </w:r>
    </w:p>
    <w:p>
      <w:pPr>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决赛原则上采取现场评审方式进行，</w:t>
      </w:r>
      <w:r>
        <w:rPr>
          <w:rFonts w:hint="eastAsia" w:ascii="仿宋_GB2312" w:hAnsi="??" w:eastAsia="仿宋_GB2312"/>
          <w:color w:val="auto"/>
          <w:sz w:val="32"/>
          <w:szCs w:val="32"/>
        </w:rPr>
        <w:t>决赛期间，承办校院校要认真落实常态化疫情防控要求。</w:t>
      </w:r>
      <w:r>
        <w:rPr>
          <w:rFonts w:ascii="仿宋_GB2312" w:hAnsi="仿宋" w:eastAsia="仿宋_GB2312"/>
          <w:color w:val="auto"/>
          <w:sz w:val="32"/>
          <w:szCs w:val="32"/>
        </w:rPr>
        <w:t>具体</w:t>
      </w:r>
      <w:r>
        <w:rPr>
          <w:rFonts w:hint="eastAsia" w:ascii="仿宋_GB2312" w:hAnsi="仿宋" w:eastAsia="仿宋_GB2312"/>
          <w:color w:val="auto"/>
          <w:sz w:val="32"/>
          <w:szCs w:val="32"/>
        </w:rPr>
        <w:t>时间、方式</w:t>
      </w:r>
      <w:r>
        <w:rPr>
          <w:rFonts w:ascii="仿宋_GB2312" w:hAnsi="仿宋" w:eastAsia="仿宋_GB2312"/>
          <w:color w:val="auto"/>
          <w:sz w:val="32"/>
          <w:szCs w:val="32"/>
        </w:rPr>
        <w:t>和要求另行通知。</w:t>
      </w:r>
    </w:p>
    <w:p>
      <w:pPr>
        <w:pStyle w:val="11"/>
        <w:spacing w:line="560" w:lineRule="exact"/>
        <w:jc w:val="both"/>
        <w:rPr>
          <w:rFonts w:ascii="仿宋" w:hAnsi="仿宋" w:eastAsia="仿宋"/>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附件</w:t>
      </w:r>
      <w:r>
        <w:rPr>
          <w:rFonts w:ascii="黑体" w:hAnsi="黑体" w:eastAsia="黑体" w:cs="黑体"/>
          <w:color w:val="auto"/>
          <w:sz w:val="32"/>
          <w:szCs w:val="32"/>
        </w:rPr>
        <w:t>2</w:t>
      </w:r>
    </w:p>
    <w:p>
      <w:pPr>
        <w:widowControl/>
        <w:shd w:val="clear" w:color="auto" w:fill="FFFFFF"/>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 xml:space="preserve"> </w:t>
      </w:r>
    </w:p>
    <w:p>
      <w:pPr>
        <w:widowControl/>
        <w:shd w:val="clear" w:color="auto" w:fill="FFFFFF"/>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2022年福建省职业院校技能大赛教学能力比赛</w:t>
      </w:r>
    </w:p>
    <w:p>
      <w:pPr>
        <w:widowControl/>
        <w:shd w:val="clear" w:color="auto" w:fill="FFFFFF"/>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评分指标</w:t>
      </w:r>
    </w:p>
    <w:p>
      <w:pPr>
        <w:overflowPunct w:val="0"/>
        <w:snapToGrid w:val="0"/>
        <w:jc w:val="center"/>
        <w:rPr>
          <w:rFonts w:ascii="黑体" w:hAnsi="黑体" w:eastAsia="黑体"/>
          <w:color w:val="auto"/>
          <w:sz w:val="32"/>
        </w:rPr>
      </w:pPr>
    </w:p>
    <w:p>
      <w:pPr>
        <w:overflowPunct w:val="0"/>
        <w:rPr>
          <w:rFonts w:ascii="黑体" w:hAnsi="黑体" w:eastAsia="黑体"/>
          <w:color w:val="auto"/>
          <w:sz w:val="32"/>
        </w:rPr>
      </w:pPr>
      <w:r>
        <w:rPr>
          <w:rFonts w:hint="eastAsia" w:ascii="黑体" w:hAnsi="黑体" w:eastAsia="黑体"/>
          <w:color w:val="auto"/>
          <w:sz w:val="32"/>
        </w:rPr>
        <w:t>一、公共基础课程组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noWrap w:val="0"/>
            <w:vAlign w:val="center"/>
          </w:tcPr>
          <w:p>
            <w:pPr>
              <w:overflowPunct w:val="0"/>
              <w:snapToGrid w:val="0"/>
              <w:jc w:val="center"/>
              <w:rPr>
                <w:rFonts w:ascii="黑体" w:hAnsi="黑体" w:eastAsia="黑体"/>
                <w:color w:val="auto"/>
                <w:sz w:val="24"/>
                <w:szCs w:val="28"/>
              </w:rPr>
            </w:pPr>
            <w:bookmarkStart w:id="14" w:name="_Hlk10491916"/>
            <w:r>
              <w:rPr>
                <w:rFonts w:hint="eastAsia" w:ascii="黑体" w:hAnsi="黑体" w:eastAsia="黑体"/>
                <w:color w:val="auto"/>
                <w:sz w:val="24"/>
                <w:szCs w:val="28"/>
              </w:rPr>
              <w:t>评价</w:t>
            </w:r>
          </w:p>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指标</w:t>
            </w:r>
          </w:p>
        </w:tc>
        <w:tc>
          <w:tcPr>
            <w:tcW w:w="580" w:type="dxa"/>
            <w:noWrap w:val="0"/>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分</w:t>
            </w:r>
          </w:p>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值</w:t>
            </w:r>
          </w:p>
        </w:tc>
        <w:tc>
          <w:tcPr>
            <w:tcW w:w="7164" w:type="dxa"/>
            <w:noWrap w:val="0"/>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874" w:type="dxa"/>
            <w:noWrap w:val="0"/>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目标</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kern w:val="0"/>
                <w:sz w:val="24"/>
                <w:szCs w:val="28"/>
              </w:rPr>
              <w:t>学情</w:t>
            </w:r>
          </w:p>
        </w:tc>
        <w:tc>
          <w:tcPr>
            <w:tcW w:w="580"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20</w:t>
            </w:r>
          </w:p>
        </w:tc>
        <w:tc>
          <w:tcPr>
            <w:tcW w:w="7164"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适应新时代对技术技能人才培养的新要求，作品应符合教育部发布的公共基础课程标准有关要求，紧扣学校专业人才培养方案和课程教学安排，强调培育学生的学习能力、信息素养、精益求精的工匠精神和爱岗敬业的劳动态度。</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2.教学目标表述明确、相互关联，重点突出、可评可测。</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3.客观分析学生知识基础、认知能力、学习特点、专业特性等，详实反映学生整体与个体情况数据，准确预判教学难点及其掌握可能。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4" w:type="dxa"/>
            <w:noWrap w:val="0"/>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内容</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策略</w:t>
            </w:r>
          </w:p>
        </w:tc>
        <w:tc>
          <w:tcPr>
            <w:tcW w:w="580"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20</w:t>
            </w:r>
          </w:p>
        </w:tc>
        <w:tc>
          <w:tcPr>
            <w:tcW w:w="7164"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w:t>
            </w:r>
            <w:bookmarkStart w:id="15" w:name="_Hlk44359443"/>
            <w:r>
              <w:rPr>
                <w:rFonts w:hint="eastAsia" w:ascii="仿宋_GB2312" w:hAnsi="仿宋_GB2312" w:eastAsia="仿宋_GB2312" w:cs="仿宋_GB2312"/>
                <w:color w:val="auto"/>
                <w:sz w:val="24"/>
                <w:szCs w:val="28"/>
              </w:rPr>
              <w:t>思政课程按照“八个相统一”要求扎实推进创优建设</w:t>
            </w:r>
            <w:bookmarkEnd w:id="15"/>
            <w:r>
              <w:rPr>
                <w:rFonts w:hint="eastAsia" w:ascii="仿宋_GB2312" w:hAnsi="仿宋_GB2312" w:eastAsia="仿宋_GB2312" w:cs="仿宋_GB2312"/>
                <w:color w:val="auto"/>
                <w:sz w:val="24"/>
                <w:szCs w:val="28"/>
              </w:rPr>
              <w:t>，其他课程注重落实课程思政要求；联系时代发展和社会生活，结合课程特点有机融入劳动教育内容，融通专业（技能）课程和职业能力，培育创新意识。</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2.教学内容有效支撑教学目标的实现，选择科学严谨、容量适度，安排合理、衔接有序、结构清晰。</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3.教材选用、使用符合《职业院校教材管理办法》等文件规定和要求，配套提供丰富、优质学习资源，教案完整、规范、简明、真实。</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4.教学过程系统优化，流程环节构思得当，技术应用预想合理，方法手段设计恰当，评价考核科学有效。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874"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实施</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与</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sz w:val="24"/>
                <w:szCs w:val="28"/>
              </w:rPr>
              <w:t>成效</w:t>
            </w:r>
          </w:p>
        </w:tc>
        <w:tc>
          <w:tcPr>
            <w:tcW w:w="580"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30</w:t>
            </w:r>
          </w:p>
        </w:tc>
        <w:tc>
          <w:tcPr>
            <w:tcW w:w="7164"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1.体现先进教育思想和教学理念，遵循学生认知规律，符合课内外教学实际。</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2.按照教学设计实施教学，关注重点、难点的解决，能够针对学习反馈及时调整教学，突出学生中心，实行因材施教。</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3.教学环境满足需求，教学活动开展有序，教学互动深入有效，教学气氛生动活泼。</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4.关注教与学行为采集，针对目标要求开展考核与评价。</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5.合理运用信息技术、教学资源、设施设备提高教学与管理成效。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874"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教学</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素养</w:t>
            </w:r>
          </w:p>
        </w:tc>
        <w:tc>
          <w:tcPr>
            <w:tcW w:w="580"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15</w:t>
            </w:r>
          </w:p>
        </w:tc>
        <w:tc>
          <w:tcPr>
            <w:tcW w:w="7164"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1.充分展现新时代职业院校教师良好的师德师风、教学技能和信息素养，发挥教学团队协作优势；老中青传帮带效果显著。</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2.教师课堂教学态度认真、严谨规范、表述清晰、亲和力强。</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3.教学实施报告客观记载、真实反映、深刻反思教与学的成效与不足，提出教学设计与课堂实施的改进设想。</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874"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特色</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创新</w:t>
            </w:r>
          </w:p>
        </w:tc>
        <w:tc>
          <w:tcPr>
            <w:tcW w:w="580"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15</w:t>
            </w:r>
          </w:p>
        </w:tc>
        <w:tc>
          <w:tcPr>
            <w:tcW w:w="7164"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1.能够引导学生树立正确的理想信念、学会正确的思维方法、培育正确的劳动观念、增强学生职业荣誉感。</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2.能够创新教学模式，给学生深刻的学习体验。</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3.能够与时俱进地提高信息技术应用能力、教研科研能力。</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4.具有较大借鉴和推广价值。</w:t>
            </w:r>
          </w:p>
        </w:tc>
      </w:tr>
      <w:bookmarkEnd w:id="14"/>
    </w:tbl>
    <w:p>
      <w:pPr>
        <w:widowControl/>
        <w:jc w:val="left"/>
        <w:rPr>
          <w:rFonts w:ascii="黑体" w:hAnsi="黑体" w:eastAsia="黑体"/>
          <w:color w:val="auto"/>
          <w:sz w:val="32"/>
        </w:rPr>
      </w:pPr>
    </w:p>
    <w:p>
      <w:pPr>
        <w:overflowPunct w:val="0"/>
        <w:snapToGrid w:val="0"/>
        <w:rPr>
          <w:rFonts w:ascii="黑体" w:hAnsi="黑体" w:eastAsia="黑体"/>
          <w:color w:val="auto"/>
          <w:sz w:val="32"/>
        </w:rPr>
      </w:pPr>
      <w:r>
        <w:rPr>
          <w:rFonts w:hint="eastAsia" w:ascii="黑体" w:hAnsi="黑体" w:eastAsia="黑体"/>
          <w:color w:val="auto"/>
          <w:sz w:val="32"/>
        </w:rPr>
        <w:t>二、专业（技能）课程组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noWrap w:val="0"/>
            <w:tcMar>
              <w:left w:w="28" w:type="dxa"/>
              <w:right w:w="28" w:type="dxa"/>
            </w:tcMar>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评价</w:t>
            </w:r>
          </w:p>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指标</w:t>
            </w:r>
          </w:p>
        </w:tc>
        <w:tc>
          <w:tcPr>
            <w:tcW w:w="572" w:type="dxa"/>
            <w:noWrap w:val="0"/>
            <w:tcMar>
              <w:left w:w="28" w:type="dxa"/>
              <w:right w:w="28" w:type="dxa"/>
            </w:tcMar>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分</w:t>
            </w:r>
          </w:p>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值</w:t>
            </w:r>
          </w:p>
        </w:tc>
        <w:tc>
          <w:tcPr>
            <w:tcW w:w="7607" w:type="dxa"/>
            <w:noWrap w:val="0"/>
            <w:tcMar>
              <w:left w:w="28" w:type="dxa"/>
              <w:right w:w="28" w:type="dxa"/>
            </w:tcMar>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596" w:type="dxa"/>
            <w:noWrap w:val="0"/>
            <w:tcMar>
              <w:left w:w="28" w:type="dxa"/>
              <w:right w:w="28" w:type="dxa"/>
            </w:tcMar>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目标</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autoSpaceDE w:val="0"/>
              <w:autoSpaceDN w:val="0"/>
              <w:snapToGrid w:val="0"/>
              <w:jc w:val="center"/>
              <w:rPr>
                <w:rFonts w:hint="eastAsia" w:ascii="仿宋_GB2312" w:hAnsi="仿宋_GB2312" w:eastAsia="仿宋_GB2312" w:cs="仿宋_GB2312"/>
                <w:color w:val="auto"/>
                <w:kern w:val="0"/>
                <w:sz w:val="24"/>
                <w:szCs w:val="28"/>
                <w:lang w:eastAsia="en-US"/>
              </w:rPr>
            </w:pPr>
            <w:r>
              <w:rPr>
                <w:rFonts w:hint="eastAsia" w:ascii="仿宋_GB2312" w:hAnsi="仿宋_GB2312" w:eastAsia="仿宋_GB2312" w:cs="仿宋_GB2312"/>
                <w:color w:val="auto"/>
                <w:kern w:val="0"/>
                <w:sz w:val="24"/>
                <w:szCs w:val="28"/>
              </w:rPr>
              <w:t>学情</w:t>
            </w:r>
          </w:p>
        </w:tc>
        <w:tc>
          <w:tcPr>
            <w:tcW w:w="572"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20</w:t>
            </w:r>
          </w:p>
        </w:tc>
        <w:tc>
          <w:tcPr>
            <w:tcW w:w="7607" w:type="dxa"/>
            <w:noWrap w:val="0"/>
            <w:vAlign w:val="center"/>
          </w:tcPr>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适应新时代对高素质技术技能人才培养的新要求，符合教育部发布的专业教学标准、实训教学条件建设标准、顶岗实习标准等有关要求，涉及1+X证书制度试点的专业，还应对接有关职业技能等级标准。紧扣学校专业人才培养方案和课程标准，强调培育学生学习能力、信息素养、职业能力、精益求精的工匠精神和爱岗敬业的劳动态度。</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2.教学目标表述明确、相互关联，重点突出、可评可测。</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7" w:hRule="atLeast"/>
          <w:jc w:val="center"/>
        </w:trPr>
        <w:tc>
          <w:tcPr>
            <w:tcW w:w="596" w:type="dxa"/>
            <w:noWrap w:val="0"/>
            <w:tcMar>
              <w:left w:w="28" w:type="dxa"/>
              <w:right w:w="28" w:type="dxa"/>
            </w:tcMar>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内容</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策略</w:t>
            </w:r>
          </w:p>
        </w:tc>
        <w:tc>
          <w:tcPr>
            <w:tcW w:w="572"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20</w:t>
            </w:r>
          </w:p>
        </w:tc>
        <w:tc>
          <w:tcPr>
            <w:tcW w:w="7607" w:type="dxa"/>
            <w:noWrap w:val="0"/>
            <w:vAlign w:val="center"/>
          </w:tcPr>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w:t>
            </w:r>
            <w:bookmarkStart w:id="16" w:name="_Hlk44359470"/>
            <w:r>
              <w:rPr>
                <w:rFonts w:hint="eastAsia" w:ascii="仿宋_GB2312" w:hAnsi="仿宋_GB2312" w:eastAsia="仿宋_GB2312" w:cs="仿宋_GB2312"/>
                <w:color w:val="auto"/>
                <w:sz w:val="24"/>
                <w:szCs w:val="28"/>
              </w:rPr>
              <w:t>深入挖掘课程思政元素，有机融入课程教学</w:t>
            </w:r>
            <w:bookmarkEnd w:id="16"/>
            <w:r>
              <w:rPr>
                <w:rFonts w:hint="eastAsia" w:ascii="仿宋_GB2312" w:hAnsi="仿宋_GB2312" w:eastAsia="仿宋_GB2312" w:cs="仿宋_GB2312"/>
                <w:color w:val="auto"/>
                <w:sz w:val="24"/>
                <w:szCs w:val="28"/>
              </w:rPr>
              <w:t>，及时反映相关领域产业升级的新技术、新工艺、新规范，结合课程特点有机融入劳动教育内容，开展劳动精神、劳模精神、工匠精神专题教育。针对基于职业工作过程建设模块化课程的需求，优化教学内容。</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2.教学内容有效支撑教学目标的实现，选择科学严谨、容量适度，安排合理、衔接有序、结构清晰。实训教学内容源于真实工作任务、项目或工作流程、过程等。</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3.教材选用符合《职业院校教材管理办法》等文件规定和要求，探索使用新型活页式、工作手册式教材并配套信息化资源，引入典型生产案例。教案完整、规范、简明、真实。</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noWrap w:val="0"/>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实施</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与</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成效</w:t>
            </w:r>
          </w:p>
        </w:tc>
        <w:tc>
          <w:tcPr>
            <w:tcW w:w="572"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30</w:t>
            </w:r>
          </w:p>
        </w:tc>
        <w:tc>
          <w:tcPr>
            <w:tcW w:w="7607"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1.体现先进教育思想和教学理念，遵循学生认知规律，符合课内外教学实际，落实德技并修、工学结合。</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2.按照教学设计实施教学，关注技术技能教学重点、难点的解决，能够针对学习和实践反馈及时调整教学，突出学生中心，强调知行合一，实行因材施教。针对不同生源特点，体现灵活的教学组织形式。</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3.教学环境满足需求，教学活动安全有序，教学互动深入有效，教学气氛生动活泼。</w:t>
            </w:r>
          </w:p>
          <w:p>
            <w:pPr>
              <w:overflowPunct w:val="0"/>
              <w:snapToGrid w:val="0"/>
              <w:spacing w:line="216" w:lineRule="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4.关注教与学行为采集，针对目标要求开展教学与实践的考核与评价。</w:t>
            </w:r>
          </w:p>
          <w:p>
            <w:pPr>
              <w:overflowPunct w:val="0"/>
              <w:snapToGrid w:val="0"/>
              <w:spacing w:line="216" w:lineRule="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5.合理运用云计算、大数据、物联网、虚拟仿真、增强现实、人工智能、区块链等信息技术以及教学资源、设施设备改造传统教学与实践方式、提高管理成效。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6" w:type="dxa"/>
            <w:noWrap w:val="0"/>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教学</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素养</w:t>
            </w:r>
          </w:p>
        </w:tc>
        <w:tc>
          <w:tcPr>
            <w:tcW w:w="572" w:type="dxa"/>
            <w:noWrap w:val="0"/>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15</w:t>
            </w:r>
          </w:p>
        </w:tc>
        <w:tc>
          <w:tcPr>
            <w:tcW w:w="7607" w:type="dxa"/>
            <w:noWrap w:val="0"/>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1.充分展现新时代职业院校教师良好的师德师风、教学技能、实践能力和信息素养，发挥教学团队协作优势；老中青传帮带效果显著。</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2.课堂教学态度认真、严谨规范、表述清晰、亲和力强。</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3.实训教学讲解和操作配合恰当，规范娴熟、示范有效，符合职业岗位要求，展现良好“双师”素养。</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4.教学实施报告客观记载、真实反映、深刻反思理论、实践教与学的成效与不足，提出教学设计与课堂实施的改进设想。</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596" w:type="dxa"/>
            <w:noWrap w:val="0"/>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特色</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创新</w:t>
            </w:r>
          </w:p>
        </w:tc>
        <w:tc>
          <w:tcPr>
            <w:tcW w:w="572" w:type="dxa"/>
            <w:noWrap w:val="0"/>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15</w:t>
            </w:r>
          </w:p>
        </w:tc>
        <w:tc>
          <w:tcPr>
            <w:tcW w:w="7607" w:type="dxa"/>
            <w:noWrap w:val="0"/>
            <w:tcMar>
              <w:left w:w="28" w:type="dxa"/>
              <w:right w:w="28" w:type="dxa"/>
            </w:tcMar>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1.能够引导学生树立正确的理想信念、学会正确的思维方法、培育正确的劳动观念、增强学生职业荣誉感。</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2.能够创新教学与实训模式，给学生深刻的学习与实践体验。</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3.能够与时俱进地更新专业知识、积累实践技能、提高信息技术应用能力和教研科研能力。</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4.具有较大借鉴和推广价值。</w:t>
            </w:r>
          </w:p>
        </w:tc>
      </w:tr>
    </w:tbl>
    <w:p>
      <w:pPr>
        <w:overflowPunct w:val="0"/>
        <w:rPr>
          <w:rFonts w:ascii="黑体" w:hAnsi="黑体" w:eastAsia="黑体"/>
          <w:color w:val="auto"/>
          <w:sz w:val="32"/>
        </w:rPr>
      </w:pPr>
    </w:p>
    <w:p>
      <w:pPr>
        <w:overflowPunct w:val="0"/>
        <w:rPr>
          <w:rFonts w:ascii="黑体" w:hAnsi="黑体" w:eastAsia="黑体"/>
          <w:color w:val="auto"/>
          <w:sz w:val="32"/>
        </w:rPr>
      </w:pPr>
    </w:p>
    <w:p>
      <w:pPr>
        <w:overflowPunct w:val="0"/>
        <w:rPr>
          <w:rFonts w:ascii="黑体" w:hAnsi="黑体" w:eastAsia="黑体"/>
          <w:color w:val="auto"/>
          <w:sz w:val="32"/>
        </w:rPr>
      </w:pPr>
    </w:p>
    <w:p>
      <w:pPr>
        <w:overflowPunct w:val="0"/>
        <w:rPr>
          <w:rFonts w:ascii="黑体" w:hAnsi="黑体" w:eastAsia="黑体"/>
          <w:color w:val="auto"/>
          <w:sz w:val="32"/>
        </w:rPr>
      </w:pPr>
    </w:p>
    <w:p>
      <w:pPr>
        <w:overflowPunct w:val="0"/>
        <w:rPr>
          <w:rFonts w:ascii="黑体" w:hAnsi="黑体" w:eastAsia="黑体"/>
          <w:color w:val="auto"/>
          <w:sz w:val="32"/>
        </w:rPr>
      </w:pPr>
    </w:p>
    <w:p>
      <w:pPr>
        <w:overflowPunct w:val="0"/>
        <w:rPr>
          <w:rFonts w:ascii="黑体" w:hAnsi="黑体" w:eastAsia="黑体"/>
          <w:color w:val="auto"/>
          <w:sz w:val="32"/>
        </w:rPr>
      </w:pPr>
    </w:p>
    <w:p>
      <w:pPr>
        <w:overflowPunct w:val="0"/>
        <w:rPr>
          <w:rFonts w:ascii="黑体" w:hAnsi="黑体" w:eastAsia="黑体"/>
          <w:color w:val="auto"/>
          <w:sz w:val="32"/>
        </w:rPr>
      </w:pPr>
    </w:p>
    <w:p>
      <w:pPr>
        <w:adjustRightInd w:val="0"/>
        <w:snapToGrid w:val="0"/>
        <w:spacing w:line="580" w:lineRule="exact"/>
        <w:rPr>
          <w:rFonts w:ascii="仿宋" w:hAnsi="仿宋" w:eastAsia="黑体"/>
          <w:color w:val="auto"/>
          <w:spacing w:val="-4"/>
          <w:sz w:val="32"/>
          <w:szCs w:val="32"/>
        </w:rPr>
      </w:pPr>
      <w:r>
        <w:rPr>
          <w:rFonts w:hint="eastAsia" w:ascii="黑体" w:hAnsi="黑体" w:eastAsia="黑体" w:cs="黑体"/>
          <w:color w:val="auto"/>
          <w:spacing w:val="-4"/>
          <w:sz w:val="32"/>
          <w:szCs w:val="32"/>
        </w:rPr>
        <w:t>附件3</w:t>
      </w:r>
    </w:p>
    <w:p>
      <w:pPr>
        <w:widowControl/>
        <w:shd w:val="clear" w:color="auto" w:fill="FFFFFF"/>
        <w:spacing w:line="44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2022年福建省职业院校</w:t>
      </w:r>
      <w:r>
        <w:rPr>
          <w:rFonts w:hint="eastAsia" w:ascii="方正小标宋简体" w:hAnsi="方正小标宋简体" w:eastAsia="方正小标宋简体" w:cs="方正小标宋简体"/>
          <w:bCs/>
          <w:color w:val="auto"/>
          <w:sz w:val="36"/>
          <w:szCs w:val="36"/>
        </w:rPr>
        <w:t>技能大赛</w:t>
      </w:r>
      <w:r>
        <w:rPr>
          <w:rFonts w:hint="eastAsia" w:ascii="方正小标宋简体" w:hAnsi="方正小标宋简体" w:eastAsia="方正小标宋简体" w:cs="方正小标宋简体"/>
          <w:color w:val="auto"/>
          <w:sz w:val="36"/>
          <w:szCs w:val="36"/>
        </w:rPr>
        <w:t>教学能力比赛</w:t>
      </w:r>
    </w:p>
    <w:p>
      <w:pPr>
        <w:widowControl/>
        <w:shd w:val="clear" w:color="auto" w:fill="FFFFFF"/>
        <w:spacing w:line="440" w:lineRule="exact"/>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参赛报名表</w:t>
      </w:r>
    </w:p>
    <w:p>
      <w:pPr>
        <w:overflowPunct w:val="0"/>
        <w:snapToGrid w:val="0"/>
        <w:jc w:val="center"/>
        <w:rPr>
          <w:rFonts w:ascii="宋体" w:hAnsi="宋体"/>
          <w:b/>
          <w:bCs/>
          <w:color w:val="auto"/>
          <w:sz w:val="28"/>
        </w:rPr>
      </w:pPr>
    </w:p>
    <w:p>
      <w:pPr>
        <w:overflowPunct w:val="0"/>
        <w:snapToGrid w:val="0"/>
        <w:jc w:val="center"/>
        <w:rPr>
          <w:rFonts w:ascii="宋体" w:hAnsi="宋体"/>
          <w:color w:val="auto"/>
          <w:sz w:val="28"/>
        </w:rPr>
      </w:pPr>
      <w:r>
        <w:rPr>
          <w:rFonts w:hint="eastAsia" w:ascii="宋体" w:hAnsi="宋体"/>
          <w:b/>
          <w:bCs/>
          <w:color w:val="auto"/>
          <w:sz w:val="28"/>
        </w:rPr>
        <w:t>参赛</w:t>
      </w:r>
      <w:r>
        <w:rPr>
          <w:rFonts w:ascii="宋体" w:hAnsi="宋体"/>
          <w:b/>
          <w:bCs/>
          <w:color w:val="auto"/>
          <w:sz w:val="28"/>
        </w:rPr>
        <w:t>作品基本信息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72"/>
        <w:gridCol w:w="1530"/>
        <w:gridCol w:w="29"/>
        <w:gridCol w:w="1418"/>
        <w:gridCol w:w="38"/>
        <w:gridCol w:w="17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4"/>
            <w:noWrap w:val="0"/>
            <w:vAlign w:val="top"/>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□中等职业教育组</w:t>
            </w:r>
          </w:p>
        </w:tc>
        <w:tc>
          <w:tcPr>
            <w:tcW w:w="4303" w:type="dxa"/>
            <w:gridSpan w:val="4"/>
            <w:noWrap w:val="0"/>
            <w:vAlign w:val="top"/>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sym w:font="Wingdings 2" w:char="00A3"/>
            </w:r>
            <w:r>
              <w:rPr>
                <w:rFonts w:hint="eastAsia" w:ascii="仿宋" w:hAnsi="仿宋" w:eastAsia="仿宋" w:cs="仿宋"/>
                <w:color w:val="auto"/>
                <w:spacing w:val="-4"/>
                <w:sz w:val="24"/>
              </w:rPr>
              <w:t>高等职业教育组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52" w:type="dxa"/>
            <w:gridSpan w:val="2"/>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□公共基础课程组</w:t>
            </w:r>
          </w:p>
        </w:tc>
        <w:tc>
          <w:tcPr>
            <w:tcW w:w="2977" w:type="dxa"/>
            <w:gridSpan w:val="3"/>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sym w:font="Wingdings 2" w:char="00A3"/>
            </w:r>
            <w:r>
              <w:rPr>
                <w:rFonts w:hint="eastAsia" w:ascii="仿宋" w:hAnsi="仿宋" w:eastAsia="仿宋" w:cs="仿宋"/>
                <w:color w:val="auto"/>
                <w:spacing w:val="-4"/>
                <w:sz w:val="24"/>
              </w:rPr>
              <w:t>专业（技能）课程一组</w:t>
            </w:r>
          </w:p>
        </w:tc>
        <w:tc>
          <w:tcPr>
            <w:tcW w:w="2885" w:type="dxa"/>
            <w:gridSpan w:val="3"/>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□专业(技能)课程二组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552" w:type="dxa"/>
            <w:gridSpan w:val="2"/>
            <w:vMerge w:val="restart"/>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12065</wp:posOffset>
                      </wp:positionV>
                      <wp:extent cx="1619885" cy="774065"/>
                      <wp:effectExtent l="1905" t="4445" r="8890" b="13970"/>
                      <wp:wrapNone/>
                      <wp:docPr id="4" name="直接连接符 4"/>
                      <wp:cNvGraphicFramePr/>
                      <a:graphic xmlns:a="http://schemas.openxmlformats.org/drawingml/2006/main">
                        <a:graphicData uri="http://schemas.microsoft.com/office/word/2010/wordprocessingShape">
                          <wps:wsp>
                            <wps:cNvCnPr/>
                            <wps:spPr>
                              <a:xfrm flipH="1">
                                <a:off x="0" y="0"/>
                                <a:ext cx="1619885" cy="7740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4.5pt;margin-top:0.95pt;height:60.95pt;width:127.55pt;z-index:251661312;mso-width-relative:page;mso-height-relative:page;" filled="f" stroked="t" coordsize="21600,21600" o:gfxdata="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ysPSNYAAAAIAQAADwAAAAAAAAABACAAAAAiAAAAZHJzL2Rvd25yZXYu&#10;eG1sUEsBAhQAFAAAAAgAh07iQB6poBb9AQAA9QMAAA4AAAAAAAAAAQAgAAAAJQEAAGRycy9lMm9E&#10;b2MueG1sUEsFBgAAAAAGAAYAWQEAAJQFAAAAAA==&#10;">
                      <v:path arrowok="t"/>
                      <v:fill on="f" focussize="0,0"/>
                      <v:stroke joinstyle="round"/>
                      <v:imagedata o:title=""/>
                      <o:lock v:ext="edit" aspectratio="f"/>
                    </v:lin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20320</wp:posOffset>
                      </wp:positionV>
                      <wp:extent cx="1610360" cy="748665"/>
                      <wp:effectExtent l="1905" t="4445" r="3175" b="8890"/>
                      <wp:wrapNone/>
                      <wp:docPr id="8" name="直接连接符 8"/>
                      <wp:cNvGraphicFramePr/>
                      <a:graphic xmlns:a="http://schemas.openxmlformats.org/drawingml/2006/main">
                        <a:graphicData uri="http://schemas.microsoft.com/office/word/2010/wordprocessingShape">
                          <wps:wsp>
                            <wps:cNvCnPr/>
                            <wps:spPr>
                              <a:xfrm>
                                <a:off x="0" y="0"/>
                                <a:ext cx="1610360" cy="7486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1.6pt;height:58.95pt;width:126.8pt;z-index:251660288;mso-width-relative:page;mso-height-relative:page;" filled="f" stroked="t" coordsize="21600,21600" o:gfxdata="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CvZOvWAAAACAEAAA8AAAAAAAAAAQAgAAAAIgAAAGRycy9kb3ducmV2LnhtbFBLAQIU&#10;ABQAAAAIAIdO4kB5dxYQ9QEAAOsDAAAOAAAAAAAAAAEAIAAAACUBAABkcnMvZTJvRG9jLnhtbFBL&#10;BQYAAAAABgAGAFkBAACMBQAAAAA=&#10;">
                      <v:path arrowok="t"/>
                      <v:fill on="f" focussize="0,0"/>
                      <v:stroke joinstyle="round"/>
                      <v:imagedata o:title=""/>
                      <o:lock v:ext="edit" aspectratio="f"/>
                    </v:line>
                  </w:pict>
                </mc:Fallback>
              </mc:AlternateContent>
            </w:r>
          </w:p>
        </w:tc>
        <w:tc>
          <w:tcPr>
            <w:tcW w:w="2977" w:type="dxa"/>
            <w:gridSpan w:val="3"/>
            <w:noWrap w:val="0"/>
            <w:vAlign w:val="center"/>
          </w:tcPr>
          <w:p>
            <w:pPr>
              <w:widowControl/>
              <w:spacing w:line="276" w:lineRule="auto"/>
              <w:rPr>
                <w:rFonts w:ascii="仿宋" w:hAnsi="仿宋" w:eastAsia="仿宋" w:cs="仿宋"/>
                <w:color w:val="auto"/>
                <w:spacing w:val="-4"/>
                <w:sz w:val="24"/>
              </w:rPr>
            </w:pPr>
            <w:r>
              <w:rPr>
                <w:rFonts w:hint="eastAsia" w:ascii="仿宋" w:hAnsi="仿宋" w:eastAsia="仿宋" w:cs="仿宋"/>
                <w:color w:val="auto"/>
                <w:spacing w:val="-4"/>
                <w:sz w:val="24"/>
              </w:rPr>
              <w:t>专业名称：</w:t>
            </w:r>
          </w:p>
        </w:tc>
        <w:tc>
          <w:tcPr>
            <w:tcW w:w="2885" w:type="dxa"/>
            <w:gridSpan w:val="3"/>
            <w:noWrap w:val="0"/>
            <w:vAlign w:val="center"/>
          </w:tcPr>
          <w:p>
            <w:pPr>
              <w:widowControl/>
              <w:spacing w:line="276" w:lineRule="auto"/>
              <w:rPr>
                <w:rFonts w:ascii="仿宋" w:hAnsi="仿宋" w:eastAsia="仿宋" w:cs="仿宋"/>
                <w:color w:val="auto"/>
                <w:spacing w:val="-4"/>
                <w:sz w:val="24"/>
              </w:rPr>
            </w:pPr>
            <w:r>
              <w:rPr>
                <w:rFonts w:hint="eastAsia" w:ascii="仿宋" w:hAnsi="仿宋" w:eastAsia="仿宋" w:cs="仿宋"/>
                <w:color w:val="auto"/>
                <w:spacing w:val="-4"/>
                <w:sz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52" w:type="dxa"/>
            <w:gridSpan w:val="2"/>
            <w:vMerge w:val="continue"/>
            <w:noWrap w:val="0"/>
            <w:vAlign w:val="center"/>
          </w:tcPr>
          <w:p>
            <w:pPr>
              <w:widowControl/>
              <w:spacing w:line="276" w:lineRule="auto"/>
              <w:jc w:val="center"/>
              <w:rPr>
                <w:rFonts w:ascii="仿宋" w:hAnsi="仿宋" w:eastAsia="仿宋" w:cs="仿宋"/>
                <w:color w:val="auto"/>
                <w:spacing w:val="-4"/>
                <w:sz w:val="24"/>
              </w:rPr>
            </w:pPr>
          </w:p>
        </w:tc>
        <w:tc>
          <w:tcPr>
            <w:tcW w:w="2977" w:type="dxa"/>
            <w:gridSpan w:val="3"/>
            <w:noWrap w:val="0"/>
            <w:vAlign w:val="center"/>
          </w:tcPr>
          <w:p>
            <w:pPr>
              <w:widowControl/>
              <w:spacing w:line="276" w:lineRule="auto"/>
              <w:rPr>
                <w:rFonts w:ascii="仿宋" w:hAnsi="仿宋" w:eastAsia="仿宋" w:cs="仿宋"/>
                <w:color w:val="auto"/>
                <w:spacing w:val="-4"/>
                <w:sz w:val="24"/>
              </w:rPr>
            </w:pPr>
            <w:r>
              <w:rPr>
                <w:rFonts w:hint="eastAsia" w:ascii="仿宋" w:hAnsi="仿宋" w:eastAsia="仿宋" w:cs="仿宋"/>
                <w:color w:val="auto"/>
                <w:spacing w:val="-4"/>
                <w:sz w:val="24"/>
              </w:rPr>
              <w:t>专业代码：</w:t>
            </w:r>
          </w:p>
        </w:tc>
        <w:tc>
          <w:tcPr>
            <w:tcW w:w="2885" w:type="dxa"/>
            <w:gridSpan w:val="3"/>
            <w:noWrap w:val="0"/>
            <w:vAlign w:val="center"/>
          </w:tcPr>
          <w:p>
            <w:pPr>
              <w:widowControl/>
              <w:spacing w:line="276" w:lineRule="auto"/>
              <w:rPr>
                <w:rFonts w:ascii="仿宋" w:hAnsi="仿宋" w:eastAsia="仿宋" w:cs="仿宋"/>
                <w:color w:val="auto"/>
                <w:spacing w:val="-4"/>
                <w:sz w:val="24"/>
              </w:rPr>
            </w:pPr>
            <w:r>
              <w:rPr>
                <w:rFonts w:hint="eastAsia" w:ascii="仿宋" w:hAnsi="仿宋" w:eastAsia="仿宋" w:cs="仿宋"/>
                <w:color w:val="auto"/>
                <w:spacing w:val="-4"/>
                <w:sz w:val="24"/>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52" w:type="dxa"/>
            <w:gridSpan w:val="2"/>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课程名称</w:t>
            </w:r>
          </w:p>
        </w:tc>
        <w:tc>
          <w:tcPr>
            <w:tcW w:w="5862" w:type="dxa"/>
            <w:gridSpan w:val="6"/>
            <w:noWrap w:val="0"/>
            <w:vAlign w:val="center"/>
          </w:tcPr>
          <w:p>
            <w:pPr>
              <w:widowControl/>
              <w:spacing w:line="276" w:lineRule="auto"/>
              <w:jc w:val="center"/>
              <w:rPr>
                <w:rFonts w:ascii="仿宋" w:hAnsi="仿宋" w:eastAsia="仿宋" w:cs="仿宋"/>
                <w:color w:val="auto"/>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52" w:type="dxa"/>
            <w:gridSpan w:val="2"/>
            <w:noWrap w:val="0"/>
            <w:vAlign w:val="center"/>
          </w:tcPr>
          <w:p>
            <w:pPr>
              <w:widowControl/>
              <w:spacing w:line="280" w:lineRule="exact"/>
              <w:jc w:val="center"/>
              <w:rPr>
                <w:rFonts w:ascii="仿宋" w:hAnsi="仿宋" w:eastAsia="仿宋" w:cs="仿宋"/>
                <w:color w:val="auto"/>
                <w:spacing w:val="-4"/>
                <w:sz w:val="24"/>
              </w:rPr>
            </w:pPr>
            <w:r>
              <w:rPr>
                <w:rFonts w:hint="eastAsia" w:ascii="仿宋" w:hAnsi="仿宋" w:eastAsia="仿宋" w:cs="仿宋"/>
                <w:color w:val="auto"/>
                <w:spacing w:val="-4"/>
                <w:sz w:val="24"/>
              </w:rPr>
              <w:t>作品名称</w:t>
            </w:r>
          </w:p>
          <w:p>
            <w:pPr>
              <w:widowControl/>
              <w:spacing w:line="280" w:lineRule="exact"/>
              <w:jc w:val="center"/>
              <w:rPr>
                <w:rFonts w:ascii="仿宋" w:hAnsi="仿宋" w:eastAsia="仿宋" w:cs="仿宋"/>
                <w:color w:val="auto"/>
                <w:spacing w:val="-4"/>
                <w:sz w:val="24"/>
              </w:rPr>
            </w:pPr>
            <w:r>
              <w:rPr>
                <w:rFonts w:hint="eastAsia" w:ascii="仿宋" w:hAnsi="仿宋" w:eastAsia="仿宋" w:cs="仿宋"/>
                <w:color w:val="auto"/>
                <w:spacing w:val="-4"/>
                <w:sz w:val="24"/>
              </w:rPr>
              <w:t>（教学任务精确表述，不超过15字）</w:t>
            </w:r>
          </w:p>
        </w:tc>
        <w:tc>
          <w:tcPr>
            <w:tcW w:w="5862" w:type="dxa"/>
            <w:gridSpan w:val="6"/>
            <w:noWrap w:val="0"/>
            <w:vAlign w:val="center"/>
          </w:tcPr>
          <w:p>
            <w:pPr>
              <w:widowControl/>
              <w:spacing w:line="276" w:lineRule="auto"/>
              <w:jc w:val="center"/>
              <w:rPr>
                <w:rFonts w:ascii="仿宋" w:hAnsi="仿宋" w:eastAsia="仿宋" w:cs="仿宋"/>
                <w:color w:val="auto"/>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80" w:type="dxa"/>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课程总学时</w:t>
            </w:r>
          </w:p>
        </w:tc>
        <w:tc>
          <w:tcPr>
            <w:tcW w:w="872" w:type="dxa"/>
            <w:noWrap w:val="0"/>
            <w:vAlign w:val="center"/>
          </w:tcPr>
          <w:p>
            <w:pPr>
              <w:widowControl/>
              <w:spacing w:line="276" w:lineRule="auto"/>
              <w:jc w:val="center"/>
              <w:rPr>
                <w:rFonts w:ascii="仿宋" w:hAnsi="仿宋" w:eastAsia="仿宋" w:cs="仿宋"/>
                <w:color w:val="auto"/>
                <w:spacing w:val="-4"/>
                <w:sz w:val="24"/>
              </w:rPr>
            </w:pPr>
          </w:p>
        </w:tc>
        <w:tc>
          <w:tcPr>
            <w:tcW w:w="1530" w:type="dxa"/>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参赛学时</w:t>
            </w:r>
          </w:p>
        </w:tc>
        <w:tc>
          <w:tcPr>
            <w:tcW w:w="1485" w:type="dxa"/>
            <w:gridSpan w:val="3"/>
            <w:noWrap w:val="0"/>
            <w:vAlign w:val="center"/>
          </w:tcPr>
          <w:p>
            <w:pPr>
              <w:widowControl/>
              <w:spacing w:line="276" w:lineRule="auto"/>
              <w:jc w:val="center"/>
              <w:rPr>
                <w:rFonts w:ascii="仿宋" w:hAnsi="仿宋" w:eastAsia="仿宋" w:cs="仿宋"/>
                <w:color w:val="auto"/>
                <w:spacing w:val="-4"/>
                <w:sz w:val="24"/>
              </w:rPr>
            </w:pPr>
          </w:p>
        </w:tc>
        <w:tc>
          <w:tcPr>
            <w:tcW w:w="1750" w:type="dxa"/>
            <w:noWrap w:val="0"/>
            <w:vAlign w:val="center"/>
          </w:tcPr>
          <w:p>
            <w:pPr>
              <w:widowControl/>
              <w:spacing w:line="276" w:lineRule="auto"/>
              <w:jc w:val="center"/>
              <w:rPr>
                <w:rFonts w:ascii="仿宋" w:hAnsi="仿宋" w:eastAsia="仿宋" w:cs="仿宋"/>
                <w:color w:val="auto"/>
                <w:spacing w:val="-4"/>
                <w:sz w:val="24"/>
              </w:rPr>
            </w:pPr>
            <w:r>
              <w:rPr>
                <w:rFonts w:hint="eastAsia" w:ascii="仿宋" w:hAnsi="仿宋" w:eastAsia="仿宋" w:cs="仿宋"/>
                <w:color w:val="auto"/>
                <w:spacing w:val="-4"/>
                <w:sz w:val="24"/>
              </w:rPr>
              <w:t>授课班级人数</w:t>
            </w:r>
            <w:r>
              <w:rPr>
                <w:rStyle w:val="10"/>
                <w:rFonts w:ascii="仿宋" w:hAnsi="仿宋" w:eastAsia="仿宋"/>
                <w:color w:val="auto"/>
                <w:spacing w:val="-4"/>
                <w:sz w:val="32"/>
                <w:szCs w:val="32"/>
              </w:rPr>
              <w:footnoteReference w:id="0"/>
            </w:r>
          </w:p>
        </w:tc>
        <w:tc>
          <w:tcPr>
            <w:tcW w:w="1097" w:type="dxa"/>
            <w:noWrap w:val="0"/>
            <w:vAlign w:val="top"/>
          </w:tcPr>
          <w:p>
            <w:pPr>
              <w:widowControl/>
              <w:spacing w:line="276" w:lineRule="auto"/>
              <w:jc w:val="left"/>
              <w:rPr>
                <w:rFonts w:ascii="仿宋" w:hAnsi="仿宋" w:eastAsia="仿宋" w:cs="仿宋"/>
                <w:color w:val="auto"/>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552" w:type="dxa"/>
            <w:gridSpan w:val="2"/>
            <w:noWrap w:val="0"/>
            <w:vAlign w:val="center"/>
          </w:tcPr>
          <w:p>
            <w:pPr>
              <w:widowControl/>
              <w:spacing w:line="300" w:lineRule="exact"/>
              <w:rPr>
                <w:rFonts w:ascii="仿宋" w:hAnsi="仿宋" w:eastAsia="仿宋" w:cs="仿宋"/>
                <w:color w:val="auto"/>
                <w:spacing w:val="-4"/>
                <w:sz w:val="24"/>
              </w:rPr>
            </w:pPr>
            <w:r>
              <w:rPr>
                <w:rFonts w:hint="eastAsia" w:ascii="仿宋" w:hAnsi="仿宋" w:eastAsia="仿宋"/>
                <w:color w:val="auto"/>
                <w:spacing w:val="-4"/>
                <w:sz w:val="24"/>
              </w:rPr>
              <w:t>专业人才培养方案网址</w:t>
            </w:r>
          </w:p>
        </w:tc>
        <w:tc>
          <w:tcPr>
            <w:tcW w:w="5862" w:type="dxa"/>
            <w:gridSpan w:val="6"/>
            <w:noWrap w:val="0"/>
            <w:vAlign w:val="center"/>
          </w:tcPr>
          <w:p>
            <w:pPr>
              <w:widowControl/>
              <w:spacing w:line="300" w:lineRule="exact"/>
              <w:rPr>
                <w:rFonts w:ascii="仿宋" w:hAnsi="仿宋" w:eastAsia="仿宋" w:cs="仿宋"/>
                <w:color w:val="auto"/>
                <w:spacing w:val="-4"/>
                <w:sz w:val="24"/>
              </w:rPr>
            </w:pPr>
          </w:p>
        </w:tc>
      </w:tr>
    </w:tbl>
    <w:p>
      <w:pPr>
        <w:widowControl/>
        <w:shd w:val="clear" w:color="auto" w:fill="FFFFFF"/>
        <w:spacing w:line="276" w:lineRule="auto"/>
        <w:ind w:left="565" w:hanging="626"/>
        <w:jc w:val="center"/>
        <w:rPr>
          <w:rFonts w:ascii="仿宋" w:hAnsi="仿宋" w:eastAsia="仿宋"/>
          <w:color w:val="auto"/>
          <w:spacing w:val="-4"/>
          <w:sz w:val="32"/>
          <w:szCs w:val="32"/>
        </w:rPr>
      </w:pPr>
      <w:r>
        <w:rPr>
          <w:rFonts w:hint="eastAsia" w:ascii="宋体" w:hAnsi="宋体"/>
          <w:b/>
          <w:bCs/>
          <w:color w:val="auto"/>
          <w:sz w:val="28"/>
        </w:rPr>
        <w:t>参赛教师基本信息</w:t>
      </w:r>
      <w:r>
        <w:rPr>
          <w:rStyle w:val="10"/>
          <w:rFonts w:ascii="仿宋" w:hAnsi="仿宋" w:eastAsia="仿宋"/>
          <w:color w:val="auto"/>
          <w:spacing w:val="-4"/>
          <w:sz w:val="32"/>
          <w:szCs w:val="32"/>
        </w:rPr>
        <w:footnoteReference w:id="1"/>
      </w:r>
    </w:p>
    <w:tbl>
      <w:tblPr>
        <w:tblStyle w:val="7"/>
        <w:tblW w:w="0" w:type="auto"/>
        <w:tblInd w:w="0" w:type="dxa"/>
        <w:tblLayout w:type="fixed"/>
        <w:tblCellMar>
          <w:top w:w="0" w:type="dxa"/>
          <w:left w:w="0" w:type="dxa"/>
          <w:bottom w:w="0" w:type="dxa"/>
          <w:right w:w="0" w:type="dxa"/>
        </w:tblCellMar>
      </w:tblPr>
      <w:tblGrid>
        <w:gridCol w:w="711"/>
        <w:gridCol w:w="668"/>
        <w:gridCol w:w="600"/>
        <w:gridCol w:w="608"/>
        <w:gridCol w:w="1260"/>
        <w:gridCol w:w="117"/>
        <w:gridCol w:w="620"/>
        <w:gridCol w:w="751"/>
        <w:gridCol w:w="25"/>
        <w:gridCol w:w="445"/>
        <w:gridCol w:w="164"/>
        <w:gridCol w:w="727"/>
        <w:gridCol w:w="78"/>
        <w:gridCol w:w="1628"/>
      </w:tblGrid>
      <w:tr>
        <w:tblPrEx>
          <w:tblCellMar>
            <w:top w:w="0" w:type="dxa"/>
            <w:left w:w="0" w:type="dxa"/>
            <w:bottom w:w="0" w:type="dxa"/>
            <w:right w:w="0" w:type="dxa"/>
          </w:tblCellMar>
        </w:tblPrEx>
        <w:trPr>
          <w:trHeight w:val="503" w:hRule="atLeast"/>
        </w:trPr>
        <w:tc>
          <w:tcPr>
            <w:tcW w:w="19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学校（单位）名称</w:t>
            </w:r>
          </w:p>
        </w:tc>
        <w:tc>
          <w:tcPr>
            <w:tcW w:w="642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76" w:lineRule="auto"/>
              <w:rPr>
                <w:rFonts w:ascii="仿宋" w:hAnsi="仿宋" w:eastAsia="仿宋"/>
                <w:color w:val="auto"/>
                <w:spacing w:val="-4"/>
                <w:sz w:val="24"/>
              </w:rPr>
            </w:pPr>
            <w:r>
              <w:rPr>
                <w:rFonts w:hint="eastAsia" w:ascii="仿宋" w:hAnsi="仿宋" w:eastAsia="仿宋"/>
                <w:color w:val="auto"/>
                <w:spacing w:val="-4"/>
                <w:szCs w:val="21"/>
              </w:rPr>
              <w:t>（若是企业教师请填写企业单位名称）</w:t>
            </w:r>
          </w:p>
        </w:tc>
      </w:tr>
      <w:tr>
        <w:tblPrEx>
          <w:tblCellMar>
            <w:top w:w="0" w:type="dxa"/>
            <w:left w:w="0" w:type="dxa"/>
            <w:bottom w:w="0" w:type="dxa"/>
            <w:right w:w="0" w:type="dxa"/>
          </w:tblCellMar>
        </w:tblPrEx>
        <w:trPr>
          <w:trHeight w:val="47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姓名</w:t>
            </w:r>
          </w:p>
        </w:tc>
        <w:tc>
          <w:tcPr>
            <w:tcW w:w="12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性别</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民族</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教龄</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r>
      <w:tr>
        <w:tblPrEx>
          <w:tblCellMar>
            <w:top w:w="0" w:type="dxa"/>
            <w:left w:w="0" w:type="dxa"/>
            <w:bottom w:w="0" w:type="dxa"/>
            <w:right w:w="0" w:type="dxa"/>
          </w:tblCellMar>
        </w:tblPrEx>
        <w:trPr>
          <w:trHeight w:val="413" w:hRule="atLeast"/>
        </w:trPr>
        <w:tc>
          <w:tcPr>
            <w:tcW w:w="13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 xml:space="preserve">身份证号码 </w:t>
            </w:r>
          </w:p>
        </w:tc>
        <w:tc>
          <w:tcPr>
            <w:tcW w:w="2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c>
          <w:tcPr>
            <w:tcW w:w="14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联系电话</w:t>
            </w:r>
          </w:p>
        </w:tc>
        <w:tc>
          <w:tcPr>
            <w:tcW w:w="306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p>
        </w:tc>
      </w:tr>
      <w:tr>
        <w:tblPrEx>
          <w:tblCellMar>
            <w:top w:w="0" w:type="dxa"/>
            <w:left w:w="0" w:type="dxa"/>
            <w:bottom w:w="0" w:type="dxa"/>
            <w:right w:w="0" w:type="dxa"/>
          </w:tblCellMar>
        </w:tblPrEx>
        <w:trPr>
          <w:trHeight w:val="475"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职务</w:t>
            </w:r>
          </w:p>
        </w:tc>
        <w:tc>
          <w:tcPr>
            <w:tcW w:w="7691"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普通教师  </w:t>
            </w:r>
            <w:r>
              <w:rPr>
                <w:rFonts w:hint="eastAsia"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教研室负责人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系部（分院）负责人  </w:t>
            </w:r>
            <w:r>
              <w:rPr>
                <w:rFonts w:hint="eastAsia" w:ascii="仿宋" w:hAnsi="仿宋" w:eastAsia="仿宋"/>
                <w:color w:val="auto"/>
                <w:spacing w:val="-4"/>
                <w:sz w:val="24"/>
              </w:rPr>
              <w:sym w:font="Wingdings 2" w:char="00A3"/>
            </w:r>
            <w:r>
              <w:rPr>
                <w:rFonts w:ascii="仿宋" w:hAnsi="仿宋" w:eastAsia="仿宋"/>
                <w:color w:val="auto"/>
                <w:spacing w:val="-4"/>
                <w:sz w:val="24"/>
              </w:rPr>
              <w:t>校领导</w:t>
            </w:r>
          </w:p>
        </w:tc>
      </w:tr>
      <w:tr>
        <w:tblPrEx>
          <w:tblCellMar>
            <w:top w:w="0" w:type="dxa"/>
            <w:left w:w="0" w:type="dxa"/>
            <w:bottom w:w="0" w:type="dxa"/>
            <w:right w:w="0" w:type="dxa"/>
          </w:tblCellMar>
        </w:tblPrEx>
        <w:trPr>
          <w:trHeight w:val="528"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职称</w:t>
            </w:r>
          </w:p>
        </w:tc>
        <w:tc>
          <w:tcPr>
            <w:tcW w:w="7691" w:type="dxa"/>
            <w:gridSpan w:val="13"/>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76" w:lineRule="auto"/>
              <w:ind w:firstLine="464" w:firstLineChars="200"/>
              <w:rPr>
                <w:rFonts w:ascii="仿宋" w:hAnsi="仿宋" w:eastAsia="仿宋"/>
                <w:color w:val="auto"/>
                <w:spacing w:val="-4"/>
                <w:sz w:val="24"/>
              </w:rPr>
            </w:pP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未定级 </w:t>
            </w:r>
            <w:r>
              <w:rPr>
                <w:rFonts w:hint="eastAsia"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初级  </w:t>
            </w:r>
            <w:r>
              <w:rPr>
                <w:rFonts w:hint="eastAsia"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中级 </w:t>
            </w:r>
            <w:r>
              <w:rPr>
                <w:rFonts w:hint="eastAsia" w:ascii="仿宋" w:hAnsi="仿宋" w:eastAsia="仿宋"/>
                <w:color w:val="auto"/>
                <w:spacing w:val="-4"/>
                <w:sz w:val="24"/>
              </w:rPr>
              <w:t xml:space="preserve">    </w:t>
            </w:r>
            <w:r>
              <w:rPr>
                <w:rFonts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副高</w:t>
            </w:r>
            <w:r>
              <w:rPr>
                <w:rFonts w:hint="eastAsia" w:ascii="仿宋" w:hAnsi="仿宋" w:eastAsia="仿宋"/>
                <w:color w:val="auto"/>
                <w:spacing w:val="-4"/>
                <w:sz w:val="24"/>
              </w:rPr>
              <w:t xml:space="preserve">    </w:t>
            </w:r>
            <w:r>
              <w:rPr>
                <w:rFonts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正高</w:t>
            </w:r>
          </w:p>
        </w:tc>
      </w:tr>
      <w:tr>
        <w:tblPrEx>
          <w:tblCellMar>
            <w:top w:w="0" w:type="dxa"/>
            <w:left w:w="0" w:type="dxa"/>
            <w:bottom w:w="0" w:type="dxa"/>
            <w:right w:w="0" w:type="dxa"/>
          </w:tblCellMar>
        </w:tblPrEx>
        <w:trPr>
          <w:trHeight w:val="64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职业资格</w:t>
            </w:r>
          </w:p>
        </w:tc>
        <w:tc>
          <w:tcPr>
            <w:tcW w:w="4649" w:type="dxa"/>
            <w:gridSpan w:val="8"/>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76" w:lineRule="auto"/>
              <w:ind w:firstLine="464" w:firstLineChars="200"/>
              <w:rPr>
                <w:rFonts w:ascii="仿宋" w:hAnsi="仿宋" w:eastAsia="仿宋"/>
                <w:color w:val="auto"/>
                <w:spacing w:val="-4"/>
                <w:sz w:val="24"/>
              </w:rPr>
            </w:pPr>
            <w:r>
              <w:rPr>
                <w:rFonts w:hint="eastAsia" w:ascii="仿宋" w:hAnsi="仿宋" w:eastAsia="仿宋"/>
                <w:color w:val="auto"/>
                <w:spacing w:val="-4"/>
                <w:sz w:val="24"/>
              </w:rPr>
              <w:sym w:font="Wingdings 2" w:char="00A3"/>
            </w:r>
            <w:r>
              <w:rPr>
                <w:rFonts w:hint="eastAsia" w:ascii="仿宋" w:hAnsi="仿宋" w:eastAsia="仿宋"/>
                <w:color w:val="auto"/>
                <w:spacing w:val="-4"/>
                <w:sz w:val="24"/>
              </w:rPr>
              <w:t>高级技师   □高级职业技能等级证书</w:t>
            </w:r>
          </w:p>
        </w:tc>
        <w:tc>
          <w:tcPr>
            <w:tcW w:w="1336" w:type="dxa"/>
            <w:gridSpan w:val="3"/>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双师型教师</w:t>
            </w:r>
          </w:p>
        </w:tc>
        <w:tc>
          <w:tcPr>
            <w:tcW w:w="1706" w:type="dxa"/>
            <w:gridSpan w:val="2"/>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76" w:lineRule="auto"/>
              <w:ind w:firstLine="232" w:firstLineChars="100"/>
              <w:rPr>
                <w:rFonts w:ascii="仿宋" w:hAnsi="仿宋" w:eastAsia="仿宋"/>
                <w:color w:val="auto"/>
                <w:spacing w:val="-4"/>
                <w:sz w:val="24"/>
              </w:rPr>
            </w:pPr>
            <w:r>
              <w:rPr>
                <w:rFonts w:hint="eastAsia" w:ascii="仿宋" w:hAnsi="仿宋" w:eastAsia="仿宋"/>
                <w:color w:val="auto"/>
                <w:spacing w:val="-4"/>
                <w:sz w:val="24"/>
              </w:rPr>
              <w:sym w:font="Wingdings 2" w:char="00A3"/>
            </w:r>
            <w:r>
              <w:rPr>
                <w:rFonts w:hint="eastAsia" w:ascii="仿宋" w:hAnsi="仿宋" w:eastAsia="仿宋"/>
                <w:color w:val="auto"/>
                <w:spacing w:val="-4"/>
                <w:sz w:val="24"/>
              </w:rPr>
              <w:t xml:space="preserve">是  </w:t>
            </w:r>
            <w:r>
              <w:rPr>
                <w:rFonts w:hint="eastAsia"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CellMar>
            <w:top w:w="0" w:type="dxa"/>
            <w:left w:w="0" w:type="dxa"/>
            <w:bottom w:w="0" w:type="dxa"/>
            <w:right w:w="0" w:type="dxa"/>
          </w:tblCellMar>
        </w:tblPrEx>
        <w:trPr>
          <w:trHeight w:val="456"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学历</w:t>
            </w:r>
          </w:p>
        </w:tc>
        <w:tc>
          <w:tcPr>
            <w:tcW w:w="7691" w:type="dxa"/>
            <w:gridSpan w:val="13"/>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76" w:lineRule="auto"/>
              <w:ind w:firstLine="464" w:firstLineChars="200"/>
              <w:rPr>
                <w:rFonts w:ascii="仿宋" w:hAnsi="仿宋" w:eastAsia="仿宋"/>
                <w:color w:val="auto"/>
                <w:spacing w:val="-4"/>
                <w:sz w:val="24"/>
              </w:rPr>
            </w:pPr>
            <w:r>
              <w:rPr>
                <w:rFonts w:hint="eastAsia" w:ascii="仿宋" w:hAnsi="仿宋" w:eastAsia="仿宋"/>
                <w:color w:val="auto"/>
                <w:spacing w:val="-4"/>
                <w:sz w:val="24"/>
              </w:rPr>
              <w:sym w:font="Wingdings 2" w:char="00A3"/>
            </w:r>
            <w:r>
              <w:rPr>
                <w:rFonts w:ascii="仿宋" w:hAnsi="仿宋" w:eastAsia="仿宋"/>
                <w:color w:val="auto"/>
                <w:spacing w:val="-4"/>
                <w:sz w:val="24"/>
              </w:rPr>
              <w:t>大专及以下</w:t>
            </w:r>
            <w:r>
              <w:rPr>
                <w:rFonts w:hint="eastAsia" w:ascii="仿宋" w:hAnsi="仿宋" w:eastAsia="仿宋"/>
                <w:color w:val="auto"/>
                <w:spacing w:val="-4"/>
                <w:sz w:val="24"/>
              </w:rPr>
              <w:t xml:space="preserve">   </w:t>
            </w:r>
            <w:r>
              <w:rPr>
                <w:rFonts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本科 </w:t>
            </w:r>
            <w:r>
              <w:rPr>
                <w:rFonts w:hint="eastAsia" w:ascii="仿宋" w:hAnsi="仿宋" w:eastAsia="仿宋"/>
                <w:color w:val="auto"/>
                <w:spacing w:val="-4"/>
                <w:sz w:val="24"/>
              </w:rPr>
              <w:t xml:space="preserve">   </w:t>
            </w:r>
            <w:r>
              <w:rPr>
                <w:rFonts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硕士 </w:t>
            </w:r>
            <w:r>
              <w:rPr>
                <w:rFonts w:hint="eastAsia" w:ascii="仿宋" w:hAnsi="仿宋" w:eastAsia="仿宋"/>
                <w:color w:val="auto"/>
                <w:spacing w:val="-4"/>
                <w:sz w:val="24"/>
              </w:rPr>
              <w:t xml:space="preserve">   </w:t>
            </w:r>
            <w:r>
              <w:rPr>
                <w:rFonts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博士</w:t>
            </w:r>
          </w:p>
        </w:tc>
      </w:tr>
      <w:tr>
        <w:tblPrEx>
          <w:tblCellMar>
            <w:top w:w="0" w:type="dxa"/>
            <w:left w:w="0" w:type="dxa"/>
            <w:bottom w:w="0" w:type="dxa"/>
            <w:right w:w="0" w:type="dxa"/>
          </w:tblCellMar>
        </w:tblPrEx>
        <w:trPr>
          <w:trHeight w:val="737"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身份</w:t>
            </w:r>
          </w:p>
        </w:tc>
        <w:tc>
          <w:tcPr>
            <w:tcW w:w="3253" w:type="dxa"/>
            <w:gridSpan w:val="5"/>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76" w:lineRule="auto"/>
              <w:rPr>
                <w:rFonts w:ascii="仿宋" w:hAnsi="仿宋" w:eastAsia="仿宋"/>
                <w:color w:val="auto"/>
                <w:spacing w:val="-4"/>
                <w:sz w:val="24"/>
              </w:rPr>
            </w:pPr>
            <w:r>
              <w:rPr>
                <w:rFonts w:hint="eastAsia" w:ascii="仿宋" w:hAnsi="仿宋" w:eastAsia="仿宋"/>
                <w:color w:val="auto"/>
                <w:spacing w:val="-4"/>
                <w:sz w:val="24"/>
              </w:rPr>
              <w:sym w:font="Wingdings 2" w:char="00A3"/>
            </w:r>
            <w:r>
              <w:rPr>
                <w:rFonts w:ascii="仿宋" w:hAnsi="仿宋" w:eastAsia="仿宋"/>
                <w:color w:val="auto"/>
                <w:spacing w:val="-4"/>
                <w:sz w:val="24"/>
              </w:rPr>
              <w:t xml:space="preserve">在职教师 </w:t>
            </w:r>
            <w:r>
              <w:rPr>
                <w:rFonts w:hint="eastAsia" w:ascii="仿宋" w:hAnsi="仿宋" w:eastAsia="仿宋"/>
                <w:color w:val="auto"/>
                <w:spacing w:val="-4"/>
                <w:sz w:val="24"/>
              </w:rPr>
              <w:t xml:space="preserve">  </w:t>
            </w:r>
            <w:r>
              <w:rPr>
                <w:rFonts w:hint="eastAsia" w:ascii="仿宋" w:hAnsi="仿宋" w:eastAsia="仿宋"/>
                <w:color w:val="auto"/>
                <w:spacing w:val="-4"/>
                <w:sz w:val="24"/>
              </w:rPr>
              <w:sym w:font="Wingdings 2" w:char="00A3"/>
            </w:r>
            <w:r>
              <w:rPr>
                <w:rFonts w:ascii="仿宋" w:hAnsi="仿宋" w:eastAsia="仿宋"/>
                <w:color w:val="auto"/>
                <w:spacing w:val="-4"/>
                <w:sz w:val="24"/>
              </w:rPr>
              <w:t>企业兼职教师</w:t>
            </w:r>
          </w:p>
        </w:tc>
        <w:tc>
          <w:tcPr>
            <w:tcW w:w="1841" w:type="dxa"/>
            <w:gridSpan w:val="4"/>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276" w:lineRule="auto"/>
              <w:rPr>
                <w:rFonts w:ascii="仿宋" w:hAnsi="仿宋" w:eastAsia="仿宋"/>
                <w:color w:val="auto"/>
                <w:spacing w:val="-4"/>
                <w:sz w:val="24"/>
              </w:rPr>
            </w:pPr>
            <w:r>
              <w:rPr>
                <w:rFonts w:hint="eastAsia" w:ascii="仿宋" w:hAnsi="仿宋" w:eastAsia="仿宋"/>
                <w:color w:val="auto"/>
                <w:spacing w:val="-4"/>
                <w:sz w:val="24"/>
              </w:rPr>
              <w:t>职业教育教师教学创新团队成员</w:t>
            </w:r>
          </w:p>
        </w:tc>
        <w:tc>
          <w:tcPr>
            <w:tcW w:w="2597" w:type="dxa"/>
            <w:gridSpan w:val="4"/>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276" w:lineRule="auto"/>
              <w:rPr>
                <w:rFonts w:ascii="仿宋" w:hAnsi="仿宋" w:eastAsia="仿宋"/>
                <w:color w:val="auto"/>
                <w:spacing w:val="-4"/>
                <w:sz w:val="24"/>
              </w:rPr>
            </w:pPr>
            <w:r>
              <w:rPr>
                <w:rFonts w:hint="eastAsia" w:ascii="仿宋" w:hAnsi="仿宋" w:eastAsia="仿宋"/>
                <w:color w:val="auto"/>
                <w:spacing w:val="-4"/>
                <w:sz w:val="24"/>
              </w:rPr>
              <w:sym w:font="Wingdings 2" w:char="00A3"/>
            </w:r>
            <w:r>
              <w:rPr>
                <w:rFonts w:hint="eastAsia" w:ascii="仿宋" w:hAnsi="仿宋" w:eastAsia="仿宋"/>
                <w:color w:val="auto"/>
                <w:spacing w:val="-4"/>
                <w:sz w:val="24"/>
              </w:rPr>
              <w:t xml:space="preserve">国家级  </w:t>
            </w:r>
            <w:r>
              <w:rPr>
                <w:rFonts w:hint="eastAsia" w:ascii="仿宋" w:hAnsi="仿宋" w:eastAsia="仿宋"/>
                <w:color w:val="auto"/>
                <w:spacing w:val="-4"/>
                <w:sz w:val="24"/>
              </w:rPr>
              <w:sym w:font="Wingdings 2" w:char="00A3"/>
            </w:r>
            <w:r>
              <w:rPr>
                <w:rFonts w:hint="eastAsia" w:ascii="仿宋" w:hAnsi="仿宋" w:eastAsia="仿宋"/>
                <w:color w:val="auto"/>
                <w:spacing w:val="-4"/>
                <w:sz w:val="24"/>
              </w:rPr>
              <w:t xml:space="preserve">省级  </w:t>
            </w:r>
            <w:r>
              <w:rPr>
                <w:rFonts w:hint="eastAsia"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CellMar>
            <w:top w:w="0" w:type="dxa"/>
            <w:left w:w="0" w:type="dxa"/>
            <w:bottom w:w="0" w:type="dxa"/>
            <w:right w:w="0" w:type="dxa"/>
          </w:tblCellMar>
        </w:tblPrEx>
        <w:trPr>
          <w:trHeight w:val="574" w:hRule="atLeast"/>
        </w:trPr>
        <w:tc>
          <w:tcPr>
            <w:tcW w:w="19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承担具体教学任务</w:t>
            </w:r>
          </w:p>
        </w:tc>
        <w:tc>
          <w:tcPr>
            <w:tcW w:w="6423" w:type="dxa"/>
            <w:gridSpan w:val="11"/>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top"/>
          </w:tcPr>
          <w:p>
            <w:pPr>
              <w:widowControl/>
              <w:spacing w:line="276" w:lineRule="auto"/>
              <w:rPr>
                <w:rFonts w:ascii="仿宋" w:hAnsi="仿宋" w:eastAsia="仿宋"/>
                <w:color w:val="auto"/>
                <w:spacing w:val="-4"/>
                <w:sz w:val="24"/>
              </w:rPr>
            </w:pPr>
            <w:r>
              <w:rPr>
                <w:rFonts w:hint="eastAsia" w:ascii="仿宋" w:hAnsi="仿宋" w:eastAsia="仿宋"/>
                <w:color w:val="auto"/>
                <w:spacing w:val="-4"/>
                <w:szCs w:val="21"/>
              </w:rPr>
              <w:t>（请填写近两年内所授课程）</w:t>
            </w:r>
          </w:p>
        </w:tc>
      </w:tr>
      <w:tr>
        <w:tblPrEx>
          <w:tblCellMar>
            <w:top w:w="0" w:type="dxa"/>
            <w:left w:w="0" w:type="dxa"/>
            <w:bottom w:w="0" w:type="dxa"/>
            <w:right w:w="0" w:type="dxa"/>
          </w:tblCellMar>
        </w:tblPrEx>
        <w:trPr>
          <w:trHeight w:val="555" w:hRule="atLeast"/>
        </w:trPr>
        <w:tc>
          <w:tcPr>
            <w:tcW w:w="19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olor w:val="auto"/>
                <w:spacing w:val="-4"/>
                <w:sz w:val="24"/>
              </w:rPr>
            </w:pPr>
            <w:r>
              <w:rPr>
                <w:rFonts w:hint="eastAsia" w:ascii="仿宋" w:hAnsi="仿宋" w:eastAsia="仿宋"/>
                <w:color w:val="auto"/>
                <w:spacing w:val="-4"/>
                <w:sz w:val="24"/>
              </w:rPr>
              <w:t>拍摄视频名称</w:t>
            </w:r>
          </w:p>
        </w:tc>
        <w:tc>
          <w:tcPr>
            <w:tcW w:w="6423" w:type="dxa"/>
            <w:gridSpan w:val="11"/>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widowControl/>
              <w:spacing w:line="276" w:lineRule="auto"/>
              <w:rPr>
                <w:rFonts w:ascii="仿宋" w:hAnsi="仿宋" w:eastAsia="仿宋"/>
                <w:color w:val="auto"/>
                <w:spacing w:val="-4"/>
                <w:sz w:val="24"/>
              </w:rPr>
            </w:pPr>
            <w:r>
              <w:rPr>
                <w:rFonts w:hint="eastAsia" w:ascii="仿宋" w:hAnsi="仿宋" w:eastAsia="仿宋"/>
                <w:color w:val="auto"/>
                <w:spacing w:val="-4"/>
                <w:szCs w:val="21"/>
              </w:rPr>
              <w:t>（请填写教案序号+教学活动名称，如4 健身与养生）</w:t>
            </w:r>
          </w:p>
        </w:tc>
      </w:tr>
    </w:tbl>
    <w:p>
      <w:pPr>
        <w:widowControl/>
        <w:shd w:val="clear" w:color="auto" w:fill="FFFFFF"/>
        <w:spacing w:line="276" w:lineRule="auto"/>
        <w:ind w:left="565" w:hanging="626"/>
        <w:jc w:val="center"/>
        <w:rPr>
          <w:rFonts w:ascii="仿宋" w:hAnsi="仿宋"/>
          <w:color w:val="auto"/>
          <w:spacing w:val="-4"/>
          <w:sz w:val="32"/>
          <w:szCs w:val="32"/>
        </w:rPr>
      </w:pPr>
      <w:r>
        <w:rPr>
          <w:rFonts w:hint="eastAsia" w:ascii="宋体" w:hAnsi="宋体"/>
          <w:b/>
          <w:bCs/>
          <w:color w:val="auto"/>
          <w:sz w:val="28"/>
        </w:rPr>
        <w:t>参赛承诺与说明</w:t>
      </w:r>
      <w:r>
        <w:rPr>
          <w:rStyle w:val="10"/>
          <w:rFonts w:ascii="仿宋" w:hAnsi="仿宋" w:eastAsia="仿宋"/>
          <w:color w:val="auto"/>
          <w:spacing w:val="-4"/>
          <w:sz w:val="32"/>
          <w:szCs w:val="32"/>
        </w:rPr>
        <w:footnoteReference w:id="2"/>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420"/>
        <w:gridCol w:w="180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本校本课程作品未在</w:t>
            </w:r>
            <w:r>
              <w:rPr>
                <w:rFonts w:ascii="仿宋" w:hAnsi="仿宋" w:eastAsia="仿宋"/>
                <w:color w:val="auto"/>
                <w:spacing w:val="-4"/>
                <w:sz w:val="24"/>
              </w:rPr>
              <w:t>20</w:t>
            </w:r>
            <w:r>
              <w:rPr>
                <w:rFonts w:hint="eastAsia" w:ascii="仿宋" w:hAnsi="仿宋" w:eastAsia="仿宋"/>
                <w:color w:val="auto"/>
                <w:spacing w:val="-4"/>
                <w:sz w:val="24"/>
              </w:rPr>
              <w:t>20、2021</w:t>
            </w:r>
            <w:r>
              <w:rPr>
                <w:rFonts w:ascii="仿宋" w:hAnsi="仿宋" w:eastAsia="仿宋"/>
                <w:color w:val="auto"/>
                <w:spacing w:val="-4"/>
                <w:sz w:val="24"/>
              </w:rPr>
              <w:t>年全国职业院校技能大赛教学能力比赛中获得一等奖</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 xml:space="preserve">本人未在 </w:t>
            </w:r>
            <w:r>
              <w:rPr>
                <w:rFonts w:ascii="仿宋" w:hAnsi="仿宋" w:eastAsia="仿宋"/>
                <w:color w:val="auto"/>
                <w:spacing w:val="-4"/>
                <w:sz w:val="24"/>
              </w:rPr>
              <w:t>20</w:t>
            </w:r>
            <w:r>
              <w:rPr>
                <w:rFonts w:hint="eastAsia" w:ascii="仿宋" w:hAnsi="仿宋" w:eastAsia="仿宋"/>
                <w:color w:val="auto"/>
                <w:spacing w:val="-4"/>
                <w:sz w:val="24"/>
              </w:rPr>
              <w:t>20、2021</w:t>
            </w:r>
            <w:r>
              <w:rPr>
                <w:rFonts w:ascii="仿宋" w:hAnsi="仿宋" w:eastAsia="仿宋"/>
                <w:color w:val="auto"/>
                <w:spacing w:val="-4"/>
                <w:sz w:val="24"/>
              </w:rPr>
              <w:t>年全国职业院校技能大赛</w:t>
            </w:r>
          </w:p>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t>教学能力比赛中获得一等奖</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以上填报作品信息、个人信息均真实无误</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参赛作品材料没有泄漏地区、学校名称</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保证参赛作品无知识产权异议或其他法律纠纷</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67" w:type="dxa"/>
            <w:gridSpan w:val="3"/>
            <w:noWrap w:val="0"/>
            <w:vAlign w:val="center"/>
          </w:tcPr>
          <w:p>
            <w:pPr>
              <w:widowControl/>
              <w:spacing w:line="300" w:lineRule="exact"/>
              <w:jc w:val="center"/>
              <w:rPr>
                <w:rFonts w:ascii="仿宋" w:hAnsi="仿宋" w:eastAsia="仿宋"/>
                <w:color w:val="auto"/>
                <w:spacing w:val="-4"/>
                <w:sz w:val="24"/>
              </w:rPr>
            </w:pPr>
            <w:r>
              <w:rPr>
                <w:rFonts w:hint="eastAsia" w:ascii="仿宋" w:hAnsi="仿宋" w:eastAsia="仿宋"/>
                <w:color w:val="auto"/>
                <w:spacing w:val="-4"/>
                <w:sz w:val="24"/>
              </w:rPr>
              <w:t>同意比赛执委会拥有对参赛作品进行公益性共享权利</w:t>
            </w:r>
          </w:p>
        </w:tc>
        <w:tc>
          <w:tcPr>
            <w:tcW w:w="2455" w:type="dxa"/>
            <w:noWrap w:val="0"/>
            <w:vAlign w:val="center"/>
          </w:tcPr>
          <w:p>
            <w:pPr>
              <w:widowControl/>
              <w:spacing w:line="300" w:lineRule="exact"/>
              <w:jc w:val="center"/>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是</w:t>
            </w:r>
            <w:r>
              <w:rPr>
                <w:rFonts w:ascii="仿宋" w:hAnsi="仿宋" w:eastAsia="仿宋"/>
                <w:color w:val="auto"/>
                <w:spacing w:val="-4"/>
                <w:sz w:val="24"/>
              </w:rPr>
              <w:t xml:space="preserve"> </w:t>
            </w:r>
            <w:r>
              <w:rPr>
                <w:rFonts w:hint="eastAsia" w:ascii="仿宋" w:hAnsi="仿宋" w:eastAsia="仿宋"/>
                <w:color w:val="auto"/>
                <w:spacing w:val="-4"/>
                <w:sz w:val="24"/>
              </w:rPr>
              <w:t xml:space="preserve">   </w:t>
            </w:r>
            <w:r>
              <w:rPr>
                <w:rFonts w:ascii="仿宋" w:hAnsi="仿宋" w:eastAsia="仿宋"/>
                <w:color w:val="auto"/>
                <w:spacing w:val="-4"/>
                <w:sz w:val="24"/>
              </w:rPr>
              <w:sym w:font="Wingdings 2" w:char="00A3"/>
            </w:r>
            <w:r>
              <w:rPr>
                <w:rFonts w:hint="eastAsia" w:ascii="仿宋" w:hAnsi="仿宋" w:eastAsia="仿宋"/>
                <w:color w:val="auto"/>
                <w:spacing w:val="-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522" w:type="dxa"/>
            <w:gridSpan w:val="4"/>
            <w:noWrap w:val="0"/>
            <w:vAlign w:val="center"/>
          </w:tcPr>
          <w:p>
            <w:pPr>
              <w:widowControl/>
              <w:spacing w:line="300" w:lineRule="exact"/>
              <w:rPr>
                <w:rFonts w:ascii="仿宋" w:hAnsi="仿宋" w:eastAsia="仿宋"/>
                <w:color w:val="auto"/>
                <w:spacing w:val="-4"/>
                <w:sz w:val="24"/>
              </w:rPr>
            </w:pPr>
            <w:r>
              <w:rPr>
                <w:rFonts w:hint="eastAsia" w:ascii="楷体" w:hAnsi="楷体" w:eastAsia="楷体" w:cs="楷体"/>
                <w:b/>
                <w:bCs/>
                <w:color w:val="auto"/>
                <w:spacing w:val="-4"/>
                <w:sz w:val="24"/>
              </w:rPr>
              <w:t>佐证材料</w:t>
            </w:r>
            <w:r>
              <w:rPr>
                <w:rFonts w:hint="eastAsia" w:ascii="仿宋" w:hAnsi="仿宋" w:eastAsia="仿宋"/>
                <w:color w:val="auto"/>
                <w:spacing w:val="-4"/>
                <w:sz w:val="24"/>
              </w:rPr>
              <w:t xml:space="preserve">： </w:t>
            </w:r>
          </w:p>
          <w:p>
            <w:pPr>
              <w:widowControl/>
              <w:spacing w:line="300" w:lineRule="exact"/>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专业证明（目前在校生按原目录的专业名称培养至毕业。中职提供“全国中等职业学校学生管理信息系统”专业数据证明，高职提供“全国职业院校专业设置管理与公共信息服务平台”专业备案证明）</w:t>
            </w:r>
          </w:p>
          <w:p>
            <w:pPr>
              <w:widowControl/>
              <w:spacing w:line="300" w:lineRule="exact"/>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授课班级学生花名册（中高职都需要）</w:t>
            </w:r>
          </w:p>
          <w:p>
            <w:pPr>
              <w:widowControl/>
              <w:spacing w:line="300" w:lineRule="exact"/>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企业兼职教师聘任书（有此情况则需提供）</w:t>
            </w:r>
          </w:p>
          <w:p>
            <w:pPr>
              <w:widowControl/>
              <w:spacing w:line="300" w:lineRule="exact"/>
              <w:rPr>
                <w:rFonts w:ascii="仿宋" w:hAnsi="仿宋" w:eastAsia="仿宋"/>
                <w:color w:val="auto"/>
                <w:spacing w:val="-4"/>
                <w:sz w:val="24"/>
              </w:rPr>
            </w:pPr>
            <w:r>
              <w:rPr>
                <w:rFonts w:ascii="仿宋" w:hAnsi="仿宋" w:eastAsia="仿宋"/>
                <w:color w:val="auto"/>
                <w:spacing w:val="-4"/>
                <w:sz w:val="24"/>
              </w:rPr>
              <w:sym w:font="Wingdings 2" w:char="00A3"/>
            </w:r>
            <w:r>
              <w:rPr>
                <w:rFonts w:hint="eastAsia" w:ascii="仿宋" w:hAnsi="仿宋" w:eastAsia="仿宋"/>
                <w:color w:val="auto"/>
                <w:spacing w:val="-4"/>
                <w:sz w:val="24"/>
              </w:rPr>
              <w:t>东西协作院校协议（有此情况则需提供）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840" w:type="dxa"/>
            <w:noWrap w:val="0"/>
            <w:vAlign w:val="center"/>
          </w:tcPr>
          <w:p>
            <w:pPr>
              <w:widowControl/>
              <w:spacing w:line="276" w:lineRule="auto"/>
              <w:rPr>
                <w:rFonts w:ascii="仿宋" w:hAnsi="仿宋" w:eastAsia="仿宋"/>
                <w:color w:val="auto"/>
                <w:spacing w:val="-4"/>
                <w:sz w:val="24"/>
              </w:rPr>
            </w:pPr>
            <w:r>
              <w:rPr>
                <w:rFonts w:hint="eastAsia" w:ascii="仿宋" w:hAnsi="仿宋" w:eastAsia="仿宋"/>
                <w:color w:val="auto"/>
                <w:spacing w:val="-4"/>
                <w:sz w:val="24"/>
              </w:rPr>
              <w:t xml:space="preserve">教学团队签字 </w:t>
            </w:r>
          </w:p>
        </w:tc>
        <w:tc>
          <w:tcPr>
            <w:tcW w:w="5682" w:type="dxa"/>
            <w:gridSpan w:val="3"/>
            <w:noWrap w:val="0"/>
            <w:vAlign w:val="center"/>
          </w:tcPr>
          <w:p>
            <w:pPr>
              <w:widowControl/>
              <w:spacing w:line="276" w:lineRule="auto"/>
              <w:rPr>
                <w:rFonts w:ascii="仿宋" w:hAnsi="仿宋" w:eastAsia="仿宋"/>
                <w:color w:val="auto"/>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4260" w:type="dxa"/>
            <w:gridSpan w:val="2"/>
            <w:noWrap w:val="0"/>
            <w:vAlign w:val="bottom"/>
          </w:tcPr>
          <w:p>
            <w:pPr>
              <w:widowControl/>
              <w:spacing w:line="480" w:lineRule="auto"/>
              <w:jc w:val="center"/>
              <w:rPr>
                <w:rFonts w:ascii="仿宋" w:hAnsi="仿宋" w:eastAsia="仿宋"/>
                <w:color w:val="auto"/>
                <w:spacing w:val="-4"/>
                <w:sz w:val="24"/>
              </w:rPr>
            </w:pPr>
            <w:r>
              <w:rPr>
                <w:rFonts w:hint="eastAsia" w:ascii="仿宋" w:hAnsi="仿宋" w:eastAsia="仿宋"/>
                <w:color w:val="auto"/>
                <w:spacing w:val="-4"/>
                <w:sz w:val="24"/>
              </w:rPr>
              <w:t>（所在单位签署意见并盖章）</w:t>
            </w:r>
          </w:p>
          <w:p>
            <w:pPr>
              <w:widowControl/>
              <w:spacing w:line="480" w:lineRule="auto"/>
              <w:jc w:val="center"/>
              <w:rPr>
                <w:rFonts w:ascii="仿宋" w:hAnsi="仿宋" w:eastAsia="仿宋"/>
                <w:color w:val="auto"/>
                <w:spacing w:val="-4"/>
                <w:sz w:val="24"/>
              </w:rPr>
            </w:pPr>
            <w:r>
              <w:rPr>
                <w:rFonts w:ascii="仿宋" w:hAnsi="仿宋" w:eastAsia="仿宋"/>
                <w:color w:val="auto"/>
                <w:spacing w:val="-4"/>
                <w:sz w:val="24"/>
              </w:rPr>
              <w:t>日期：</w:t>
            </w:r>
          </w:p>
        </w:tc>
        <w:tc>
          <w:tcPr>
            <w:tcW w:w="4262" w:type="dxa"/>
            <w:gridSpan w:val="2"/>
            <w:noWrap w:val="0"/>
            <w:vAlign w:val="bottom"/>
          </w:tcPr>
          <w:p>
            <w:pPr>
              <w:widowControl/>
              <w:spacing w:line="540" w:lineRule="exact"/>
              <w:rPr>
                <w:rFonts w:ascii="仿宋" w:hAnsi="仿宋" w:eastAsia="仿宋"/>
                <w:color w:val="auto"/>
                <w:spacing w:val="-4"/>
                <w:sz w:val="24"/>
              </w:rPr>
            </w:pPr>
            <w:r>
              <w:rPr>
                <w:rFonts w:hint="eastAsia" w:ascii="仿宋" w:hAnsi="仿宋" w:eastAsia="仿宋"/>
                <w:color w:val="auto"/>
                <w:spacing w:val="-4"/>
                <w:sz w:val="24"/>
              </w:rPr>
              <w:t>（中职学校所属市级教育行政部门处室签署意见</w:t>
            </w:r>
            <w:r>
              <w:rPr>
                <w:rFonts w:ascii="仿宋" w:hAnsi="仿宋" w:eastAsia="仿宋"/>
                <w:color w:val="auto"/>
                <w:spacing w:val="-4"/>
                <w:sz w:val="24"/>
              </w:rPr>
              <w:t>并盖章）</w:t>
            </w:r>
          </w:p>
          <w:p>
            <w:pPr>
              <w:widowControl/>
              <w:spacing w:line="540" w:lineRule="exact"/>
              <w:jc w:val="center"/>
              <w:rPr>
                <w:rFonts w:ascii="仿宋" w:hAnsi="仿宋" w:eastAsia="仿宋"/>
                <w:color w:val="auto"/>
                <w:spacing w:val="-4"/>
                <w:sz w:val="24"/>
              </w:rPr>
            </w:pPr>
            <w:r>
              <w:rPr>
                <w:rFonts w:ascii="仿宋" w:hAnsi="仿宋" w:eastAsia="仿宋"/>
                <w:color w:val="auto"/>
                <w:spacing w:val="-4"/>
                <w:sz w:val="24"/>
              </w:rPr>
              <w:t>日期：</w:t>
            </w:r>
          </w:p>
        </w:tc>
      </w:tr>
    </w:tbl>
    <w:p>
      <w:pPr>
        <w:widowControl/>
        <w:shd w:val="clear" w:color="auto" w:fill="FFFFFF"/>
        <w:spacing w:line="276" w:lineRule="auto"/>
        <w:jc w:val="left"/>
        <w:rPr>
          <w:rFonts w:ascii="仿宋" w:hAnsi="仿宋" w:eastAsia="仿宋"/>
          <w:color w:val="auto"/>
          <w:spacing w:val="-4"/>
          <w:sz w:val="32"/>
          <w:szCs w:val="32"/>
        </w:rPr>
        <w:sectPr>
          <w:headerReference r:id="rId5" w:type="first"/>
          <w:footerReference r:id="rId8" w:type="first"/>
          <w:headerReference r:id="rId4" w:type="default"/>
          <w:footerReference r:id="rId6" w:type="default"/>
          <w:footerReference r:id="rId7" w:type="even"/>
          <w:pgSz w:w="11906" w:h="16838"/>
          <w:pgMar w:top="1440" w:right="1587" w:bottom="1440" w:left="1644" w:header="851" w:footer="992" w:gutter="0"/>
          <w:pgNumType w:fmt="numberInDash"/>
          <w:cols w:space="720" w:num="1"/>
          <w:titlePg/>
          <w:docGrid w:type="lines" w:linePitch="312" w:charSpace="0"/>
        </w:sectPr>
      </w:pPr>
    </w:p>
    <w:p>
      <w:pPr>
        <w:widowControl/>
        <w:shd w:val="clear" w:color="auto" w:fill="FFFFFF"/>
        <w:spacing w:line="276" w:lineRule="auto"/>
        <w:ind w:left="565" w:hanging="626"/>
        <w:jc w:val="left"/>
        <w:rPr>
          <w:rFonts w:ascii="黑体" w:hAnsi="黑体" w:eastAsia="黑体" w:cs="黑体"/>
          <w:color w:val="auto"/>
          <w:spacing w:val="-4"/>
          <w:sz w:val="32"/>
          <w:szCs w:val="32"/>
        </w:rPr>
      </w:pPr>
      <w:r>
        <w:rPr>
          <w:rFonts w:hint="eastAsia" w:ascii="黑体" w:hAnsi="黑体" w:eastAsia="黑体" w:cs="黑体"/>
          <w:color w:val="auto"/>
          <w:spacing w:val="-4"/>
          <w:sz w:val="32"/>
          <w:szCs w:val="32"/>
        </w:rPr>
        <w:t>附件4</w:t>
      </w:r>
    </w:p>
    <w:p>
      <w:pPr>
        <w:widowControl/>
        <w:shd w:val="clear" w:color="auto" w:fill="FFFFFF"/>
        <w:spacing w:line="440" w:lineRule="exact"/>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sz w:val="36"/>
          <w:szCs w:val="36"/>
        </w:rPr>
        <w:t>2022年福建省职业院校</w:t>
      </w:r>
      <w:r>
        <w:rPr>
          <w:rFonts w:hint="eastAsia" w:ascii="方正小标宋简体" w:hAnsi="方正小标宋简体" w:eastAsia="方正小标宋简体" w:cs="方正小标宋简体"/>
          <w:bCs/>
          <w:color w:val="auto"/>
          <w:sz w:val="36"/>
          <w:szCs w:val="36"/>
        </w:rPr>
        <w:t>技能大赛</w:t>
      </w:r>
      <w:r>
        <w:rPr>
          <w:rFonts w:hint="eastAsia" w:ascii="方正小标宋简体" w:hAnsi="方正小标宋简体" w:eastAsia="方正小标宋简体" w:cs="方正小标宋简体"/>
          <w:color w:val="auto"/>
          <w:sz w:val="36"/>
          <w:szCs w:val="36"/>
        </w:rPr>
        <w:t>教学能力比赛</w:t>
      </w:r>
      <w:r>
        <w:rPr>
          <w:rFonts w:hint="eastAsia" w:ascii="方正小标宋简体" w:hAnsi="方正小标宋简体" w:eastAsia="方正小标宋简体" w:cs="方正小标宋简体"/>
          <w:color w:val="auto"/>
          <w:kern w:val="0"/>
          <w:sz w:val="36"/>
          <w:szCs w:val="36"/>
        </w:rPr>
        <w:t>参赛情况汇总表</w:t>
      </w:r>
    </w:p>
    <w:p>
      <w:pPr>
        <w:widowControl/>
        <w:shd w:val="clear" w:color="auto" w:fill="FFFFFF"/>
        <w:spacing w:line="276" w:lineRule="auto"/>
        <w:ind w:left="565" w:hanging="626"/>
        <w:jc w:val="left"/>
        <w:rPr>
          <w:rFonts w:ascii="仿宋" w:hAnsi="仿宋" w:eastAsia="仿宋"/>
          <w:color w:val="auto"/>
          <w:spacing w:val="-4"/>
          <w:sz w:val="32"/>
          <w:szCs w:val="32"/>
        </w:rPr>
      </w:pPr>
      <w:r>
        <w:rPr>
          <w:rFonts w:hint="eastAsia" w:ascii="仿宋" w:hAnsi="仿宋" w:eastAsia="仿宋"/>
          <w:color w:val="auto"/>
          <w:spacing w:val="-4"/>
          <w:sz w:val="32"/>
          <w:szCs w:val="32"/>
        </w:rPr>
        <w:t xml:space="preserve"> </w:t>
      </w:r>
      <w:r>
        <w:rPr>
          <w:rFonts w:hint="eastAsia" w:ascii="仿宋" w:hAnsi="仿宋" w:eastAsia="仿宋"/>
          <w:color w:val="auto"/>
          <w:spacing w:val="-4"/>
          <w:sz w:val="32"/>
          <w:szCs w:val="32"/>
          <w:u w:val="single"/>
        </w:rPr>
        <w:t xml:space="preserve"> </w:t>
      </w:r>
      <w:r>
        <w:rPr>
          <w:rFonts w:hint="eastAsia" w:eastAsia="方正仿宋简体"/>
          <w:color w:val="auto"/>
          <w:sz w:val="28"/>
          <w:szCs w:val="32"/>
          <w:u w:val="single"/>
        </w:rPr>
        <w:t xml:space="preserve">                      </w:t>
      </w:r>
      <w:r>
        <w:rPr>
          <w:rFonts w:hint="eastAsia" w:eastAsia="方正仿宋简体"/>
          <w:color w:val="auto"/>
          <w:sz w:val="28"/>
          <w:szCs w:val="32"/>
        </w:rPr>
        <w:t>学校/设区市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13"/>
        <w:gridCol w:w="1807"/>
        <w:gridCol w:w="2114"/>
        <w:gridCol w:w="2945"/>
        <w:gridCol w:w="1981"/>
        <w:gridCol w:w="1159"/>
        <w:gridCol w:w="11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24"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sz w:val="24"/>
              </w:rPr>
              <w:t>中</w:t>
            </w:r>
            <w:r>
              <w:rPr>
                <w:rFonts w:hint="eastAsia" w:ascii="黑体" w:hAnsi="黑体" w:eastAsia="黑体"/>
                <w:snapToGrid w:val="0"/>
                <w:color w:val="auto"/>
                <w:sz w:val="24"/>
              </w:rPr>
              <w:t>/</w:t>
            </w:r>
            <w:r>
              <w:rPr>
                <w:rFonts w:ascii="黑体" w:hAnsi="黑体" w:eastAsia="黑体"/>
                <w:snapToGrid w:val="0"/>
                <w:color w:val="auto"/>
                <w:sz w:val="24"/>
              </w:rPr>
              <w:t>高职</w:t>
            </w:r>
          </w:p>
        </w:tc>
        <w:tc>
          <w:tcPr>
            <w:tcW w:w="1513"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组别</w:t>
            </w:r>
          </w:p>
        </w:tc>
        <w:tc>
          <w:tcPr>
            <w:tcW w:w="1807"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hint="eastAsia" w:ascii="黑体" w:hAnsi="黑体" w:eastAsia="黑体"/>
                <w:snapToGrid w:val="0"/>
                <w:color w:val="auto"/>
                <w:kern w:val="0"/>
                <w:sz w:val="24"/>
              </w:rPr>
              <w:t>公共基础课程/</w:t>
            </w:r>
            <w:r>
              <w:rPr>
                <w:rFonts w:ascii="黑体" w:hAnsi="黑体" w:eastAsia="黑体"/>
                <w:snapToGrid w:val="0"/>
                <w:color w:val="auto"/>
                <w:kern w:val="0"/>
                <w:sz w:val="24"/>
              </w:rPr>
              <w:t>专业名称</w:t>
            </w:r>
          </w:p>
        </w:tc>
        <w:tc>
          <w:tcPr>
            <w:tcW w:w="2114"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课程名称</w:t>
            </w:r>
          </w:p>
        </w:tc>
        <w:tc>
          <w:tcPr>
            <w:tcW w:w="2945"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作品名称</w:t>
            </w:r>
          </w:p>
          <w:p>
            <w:pPr>
              <w:overflowPunct w:val="0"/>
              <w:snapToGrid w:val="0"/>
              <w:jc w:val="center"/>
              <w:rPr>
                <w:rFonts w:ascii="黑体" w:hAnsi="黑体" w:eastAsia="黑体"/>
                <w:snapToGrid w:val="0"/>
                <w:color w:val="auto"/>
                <w:kern w:val="0"/>
                <w:sz w:val="24"/>
              </w:rPr>
            </w:pPr>
            <w:r>
              <w:rPr>
                <w:rFonts w:hint="eastAsia" w:ascii="黑体" w:hAnsi="黑体" w:eastAsia="黑体"/>
                <w:snapToGrid w:val="0"/>
                <w:color w:val="auto"/>
                <w:kern w:val="0"/>
                <w:sz w:val="24"/>
              </w:rPr>
              <w:t>（教学任务精确表述）</w:t>
            </w:r>
          </w:p>
        </w:tc>
        <w:tc>
          <w:tcPr>
            <w:tcW w:w="1981"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学校名称</w:t>
            </w:r>
          </w:p>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（规范</w:t>
            </w:r>
            <w:r>
              <w:rPr>
                <w:rFonts w:hint="eastAsia" w:ascii="黑体" w:hAnsi="黑体" w:eastAsia="黑体"/>
                <w:snapToGrid w:val="0"/>
                <w:color w:val="auto"/>
                <w:kern w:val="0"/>
                <w:sz w:val="24"/>
              </w:rPr>
              <w:t>全称</w:t>
            </w:r>
            <w:r>
              <w:rPr>
                <w:rFonts w:ascii="黑体" w:hAnsi="黑体" w:eastAsia="黑体"/>
                <w:snapToGrid w:val="0"/>
                <w:color w:val="auto"/>
                <w:kern w:val="0"/>
                <w:sz w:val="24"/>
              </w:rPr>
              <w:t>）</w:t>
            </w:r>
          </w:p>
        </w:tc>
        <w:tc>
          <w:tcPr>
            <w:tcW w:w="1159"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hint="eastAsia" w:ascii="黑体" w:hAnsi="黑体" w:eastAsia="黑体"/>
                <w:snapToGrid w:val="0"/>
                <w:color w:val="auto"/>
                <w:kern w:val="0"/>
                <w:sz w:val="24"/>
              </w:rPr>
              <w:t>教学团队教师姓名</w:t>
            </w:r>
          </w:p>
        </w:tc>
        <w:tc>
          <w:tcPr>
            <w:tcW w:w="1159"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hint="eastAsia" w:ascii="黑体" w:hAnsi="黑体" w:eastAsia="黑体"/>
                <w:snapToGrid w:val="0"/>
                <w:color w:val="auto"/>
                <w:kern w:val="0"/>
                <w:sz w:val="24"/>
              </w:rPr>
              <w:t>教学团队联系人</w:t>
            </w:r>
          </w:p>
        </w:tc>
        <w:tc>
          <w:tcPr>
            <w:tcW w:w="1276" w:type="dxa"/>
            <w:noWrap w:val="0"/>
            <w:tcMar>
              <w:left w:w="28" w:type="dxa"/>
              <w:right w:w="28" w:type="dxa"/>
            </w:tcMar>
            <w:vAlign w:val="center"/>
          </w:tcPr>
          <w:p>
            <w:pPr>
              <w:overflowPunct w:val="0"/>
              <w:snapToGrid w:val="0"/>
              <w:jc w:val="center"/>
              <w:rPr>
                <w:rFonts w:ascii="黑体" w:hAnsi="黑体" w:eastAsia="黑体"/>
                <w:snapToGrid w:val="0"/>
                <w:color w:val="auto"/>
                <w:kern w:val="0"/>
                <w:sz w:val="24"/>
              </w:rPr>
            </w:pPr>
            <w:r>
              <w:rPr>
                <w:rFonts w:ascii="黑体" w:hAnsi="黑体" w:eastAsia="黑体"/>
                <w:snapToGrid w:val="0"/>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513"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807"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114"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2945"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981"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159" w:type="dxa"/>
            <w:noWrap w:val="0"/>
            <w:tcMar>
              <w:left w:w="28" w:type="dxa"/>
              <w:right w:w="28" w:type="dxa"/>
            </w:tcMar>
            <w:vAlign w:val="center"/>
          </w:tcPr>
          <w:p>
            <w:pPr>
              <w:overflowPunct w:val="0"/>
              <w:snapToGrid w:val="0"/>
              <w:jc w:val="center"/>
              <w:rPr>
                <w:rFonts w:eastAsia="方正仿宋简体"/>
                <w:color w:val="auto"/>
                <w:kern w:val="0"/>
                <w:sz w:val="24"/>
              </w:rPr>
            </w:pPr>
          </w:p>
        </w:tc>
        <w:tc>
          <w:tcPr>
            <w:tcW w:w="1276" w:type="dxa"/>
            <w:noWrap w:val="0"/>
            <w:tcMar>
              <w:left w:w="28" w:type="dxa"/>
              <w:right w:w="28" w:type="dxa"/>
            </w:tcMar>
            <w:vAlign w:val="center"/>
          </w:tcPr>
          <w:p>
            <w:pPr>
              <w:overflowPunct w:val="0"/>
              <w:snapToGrid w:val="0"/>
              <w:jc w:val="center"/>
              <w:rPr>
                <w:rFonts w:eastAsia="方正仿宋简体"/>
                <w:color w:val="auto"/>
                <w:kern w:val="0"/>
                <w:sz w:val="24"/>
              </w:rPr>
            </w:pPr>
          </w:p>
        </w:tc>
      </w:tr>
    </w:tbl>
    <w:p>
      <w:pPr>
        <w:overflowPunct w:val="0"/>
        <w:snapToGrid w:val="0"/>
        <w:spacing w:before="79" w:beforeLines="25"/>
        <w:rPr>
          <w:rFonts w:eastAsia="方正仿宋简体"/>
          <w:snapToGrid w:val="0"/>
          <w:color w:val="auto"/>
          <w:sz w:val="36"/>
          <w:szCs w:val="36"/>
        </w:rPr>
      </w:pPr>
      <w:r>
        <w:rPr>
          <w:rFonts w:eastAsia="方正仿宋简体"/>
          <w:snapToGrid w:val="0"/>
          <w:color w:val="auto"/>
          <w:sz w:val="28"/>
          <w:szCs w:val="28"/>
        </w:rPr>
        <w:t>填表人：            联系电话：               电子</w:t>
      </w:r>
      <w:r>
        <w:rPr>
          <w:rFonts w:hint="eastAsia" w:eastAsia="方正仿宋简体"/>
          <w:snapToGrid w:val="0"/>
          <w:color w:val="auto"/>
          <w:sz w:val="28"/>
          <w:szCs w:val="28"/>
        </w:rPr>
        <w:t>邮箱</w:t>
      </w:r>
      <w:r>
        <w:rPr>
          <w:rFonts w:eastAsia="方正仿宋简体"/>
          <w:snapToGrid w:val="0"/>
          <w:color w:val="auto"/>
          <w:sz w:val="28"/>
          <w:szCs w:val="28"/>
        </w:rPr>
        <w:t xml:space="preserve">：                  </w:t>
      </w:r>
    </w:p>
    <w:p>
      <w:pPr>
        <w:widowControl/>
        <w:shd w:val="clear" w:color="auto" w:fill="FFFFFF"/>
        <w:spacing w:line="276" w:lineRule="auto"/>
        <w:jc w:val="left"/>
        <w:rPr>
          <w:rFonts w:ascii="仿宋" w:hAnsi="仿宋" w:eastAsia="仿宋"/>
          <w:color w:val="auto"/>
          <w:spacing w:val="-4"/>
          <w:sz w:val="32"/>
          <w:szCs w:val="32"/>
        </w:rPr>
        <w:sectPr>
          <w:pgSz w:w="16838" w:h="11906" w:orient="landscape"/>
          <w:pgMar w:top="1587" w:right="1701" w:bottom="1587" w:left="1701" w:header="851" w:footer="992" w:gutter="0"/>
          <w:pgNumType w:fmt="numberInDash"/>
          <w:cols w:space="720" w:num="1"/>
          <w:titlePg/>
          <w:docGrid w:type="lines" w:linePitch="319" w:charSpace="0"/>
        </w:sectPr>
      </w:pPr>
    </w:p>
    <w:p>
      <w:pPr>
        <w:widowControl/>
        <w:shd w:val="clear" w:color="auto" w:fill="FFFFFF"/>
        <w:spacing w:line="276" w:lineRule="auto"/>
        <w:ind w:left="565" w:hanging="626"/>
        <w:jc w:val="left"/>
        <w:rPr>
          <w:rFonts w:ascii="黑体" w:hAnsi="黑体" w:eastAsia="黑体" w:cs="黑体"/>
          <w:color w:val="auto"/>
          <w:spacing w:val="-4"/>
          <w:sz w:val="32"/>
          <w:szCs w:val="32"/>
        </w:rPr>
      </w:pPr>
      <w:r>
        <w:rPr>
          <w:rFonts w:hint="eastAsia" w:ascii="黑体" w:hAnsi="黑体" w:eastAsia="黑体" w:cs="黑体"/>
          <w:color w:val="auto"/>
          <w:spacing w:val="-4"/>
          <w:sz w:val="32"/>
          <w:szCs w:val="32"/>
        </w:rPr>
        <w:t>附件5</w:t>
      </w:r>
    </w:p>
    <w:p>
      <w:pPr>
        <w:widowControl/>
        <w:shd w:val="clear" w:color="auto" w:fill="FFFFFF"/>
        <w:spacing w:line="44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2022年福建省职业院校</w:t>
      </w:r>
      <w:r>
        <w:rPr>
          <w:rFonts w:hint="eastAsia" w:ascii="方正小标宋简体" w:hAnsi="方正小标宋简体" w:eastAsia="方正小标宋简体" w:cs="方正小标宋简体"/>
          <w:bCs/>
          <w:color w:val="auto"/>
          <w:sz w:val="36"/>
          <w:szCs w:val="36"/>
        </w:rPr>
        <w:t>技能大赛</w:t>
      </w:r>
      <w:r>
        <w:rPr>
          <w:rFonts w:hint="eastAsia" w:ascii="方正小标宋简体" w:hAnsi="方正小标宋简体" w:eastAsia="方正小标宋简体" w:cs="方正小标宋简体"/>
          <w:color w:val="auto"/>
          <w:sz w:val="36"/>
          <w:szCs w:val="36"/>
        </w:rPr>
        <w:t>教学能力比赛</w:t>
      </w:r>
    </w:p>
    <w:p>
      <w:pPr>
        <w:widowControl/>
        <w:shd w:val="clear" w:color="auto" w:fill="FFFFFF"/>
        <w:spacing w:line="44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区域性比赛情况统计表</w:t>
      </w:r>
    </w:p>
    <w:p>
      <w:pPr>
        <w:widowControl/>
        <w:shd w:val="clear" w:color="auto" w:fill="FFFFFF"/>
        <w:spacing w:line="440" w:lineRule="exact"/>
        <w:jc w:val="center"/>
        <w:rPr>
          <w:rFonts w:ascii="方正小标宋简体" w:hAnsi="方正小标宋简体" w:eastAsia="方正小标宋简体" w:cs="方正小标宋简体"/>
          <w:color w:val="auto"/>
          <w:sz w:val="36"/>
          <w:szCs w:val="36"/>
        </w:rPr>
      </w:pPr>
    </w:p>
    <w:p>
      <w:pPr>
        <w:overflowPunct w:val="0"/>
        <w:contextualSpacing/>
        <w:jc w:val="left"/>
        <w:rPr>
          <w:rFonts w:eastAsia="方正仿宋简体"/>
          <w:color w:val="auto"/>
          <w:sz w:val="28"/>
          <w:szCs w:val="32"/>
        </w:rPr>
      </w:pPr>
      <w:r>
        <w:rPr>
          <w:rFonts w:hint="eastAsia" w:eastAsia="方正仿宋简体"/>
          <w:color w:val="auto"/>
          <w:sz w:val="28"/>
          <w:szCs w:val="32"/>
          <w:u w:val="single"/>
        </w:rPr>
        <w:t xml:space="preserve">        </w:t>
      </w:r>
      <w:r>
        <w:rPr>
          <w:rFonts w:hint="eastAsia" w:eastAsia="方正仿宋简体"/>
          <w:color w:val="auto"/>
          <w:sz w:val="28"/>
          <w:szCs w:val="32"/>
        </w:rPr>
        <w:t>学校/设区市  联系人</w:t>
      </w:r>
      <w:r>
        <w:rPr>
          <w:rFonts w:hint="eastAsia" w:eastAsia="方正仿宋简体"/>
          <w:color w:val="auto"/>
          <w:sz w:val="28"/>
          <w:szCs w:val="32"/>
          <w:u w:val="single"/>
        </w:rPr>
        <w:t xml:space="preserve">        </w:t>
      </w:r>
      <w:r>
        <w:rPr>
          <w:rFonts w:hint="eastAsia" w:eastAsia="方正仿宋简体"/>
          <w:color w:val="auto"/>
          <w:sz w:val="28"/>
          <w:szCs w:val="32"/>
        </w:rPr>
        <w:t>电话</w:t>
      </w:r>
      <w:r>
        <w:rPr>
          <w:rFonts w:hint="eastAsia" w:eastAsia="方正仿宋简体"/>
          <w:color w:val="auto"/>
          <w:sz w:val="28"/>
          <w:szCs w:val="32"/>
          <w:u w:val="single"/>
        </w:rPr>
        <w:t xml:space="preserve">        </w:t>
      </w:r>
      <w:r>
        <w:rPr>
          <w:rFonts w:hint="eastAsia" w:eastAsia="方正仿宋简体"/>
          <w:color w:val="auto"/>
          <w:sz w:val="28"/>
          <w:szCs w:val="32"/>
        </w:rPr>
        <w:t>QQ</w:t>
      </w:r>
      <w:r>
        <w:rPr>
          <w:rFonts w:hint="eastAsia" w:eastAsia="方正仿宋简体"/>
          <w:color w:val="auto"/>
          <w:sz w:val="28"/>
          <w:szCs w:val="32"/>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2904"/>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091" w:type="dxa"/>
            <w:noWrap w:val="0"/>
            <w:vAlign w:val="center"/>
          </w:tcPr>
          <w:p>
            <w:pPr>
              <w:overflowPunct w:val="0"/>
              <w:snapToGrid w:val="0"/>
              <w:contextualSpacing/>
              <w:jc w:val="center"/>
              <w:rPr>
                <w:rFonts w:eastAsia="方正仿宋简体"/>
                <w:color w:val="auto"/>
                <w:sz w:val="28"/>
              </w:rPr>
            </w:pPr>
          </w:p>
        </w:tc>
        <w:tc>
          <w:tcPr>
            <w:tcW w:w="2904"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中职</w:t>
            </w:r>
          </w:p>
        </w:tc>
        <w:tc>
          <w:tcPr>
            <w:tcW w:w="2931" w:type="dxa"/>
            <w:noWrap w:val="0"/>
            <w:vAlign w:val="center"/>
          </w:tcPr>
          <w:p>
            <w:pPr>
              <w:overflowPunct w:val="0"/>
              <w:spacing w:line="280" w:lineRule="exact"/>
              <w:contextualSpacing/>
              <w:jc w:val="center"/>
              <w:rPr>
                <w:rFonts w:eastAsia="方正仿宋简体"/>
                <w:color w:val="auto"/>
                <w:sz w:val="28"/>
              </w:rPr>
            </w:pPr>
            <w:r>
              <w:rPr>
                <w:rFonts w:hint="eastAsia" w:eastAsia="方正仿宋简体"/>
                <w:color w:val="auto"/>
                <w:kern w:val="0"/>
                <w:sz w:val="22"/>
                <w:szCs w:val="22"/>
              </w:rPr>
              <w:t>高职院校\省属中职学校\示范性应用型本科高校\新建本科院校\福建技术师范学院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3091" w:type="dxa"/>
            <w:noWrap w:val="0"/>
            <w:vAlign w:val="center"/>
          </w:tcPr>
          <w:p>
            <w:pPr>
              <w:overflowPunct w:val="0"/>
              <w:snapToGrid w:val="0"/>
              <w:contextualSpacing/>
              <w:jc w:val="center"/>
              <w:rPr>
                <w:rFonts w:eastAsia="方正仿宋简体"/>
                <w:color w:val="auto"/>
                <w:sz w:val="28"/>
              </w:rPr>
            </w:pPr>
            <w:r>
              <w:rPr>
                <w:rFonts w:eastAsia="方正仿宋简体"/>
                <w:color w:val="auto"/>
                <w:sz w:val="28"/>
              </w:rPr>
              <w:t>本</w:t>
            </w:r>
            <w:r>
              <w:rPr>
                <w:rFonts w:hint="eastAsia" w:eastAsia="方正仿宋简体"/>
                <w:color w:val="auto"/>
                <w:sz w:val="28"/>
              </w:rPr>
              <w:t>市（区）</w:t>
            </w:r>
            <w:r>
              <w:rPr>
                <w:rFonts w:eastAsia="方正仿宋简体"/>
                <w:color w:val="auto"/>
                <w:sz w:val="28"/>
              </w:rPr>
              <w:t>学校数</w:t>
            </w:r>
          </w:p>
        </w:tc>
        <w:tc>
          <w:tcPr>
            <w:tcW w:w="2904" w:type="dxa"/>
            <w:noWrap w:val="0"/>
            <w:vAlign w:val="center"/>
          </w:tcPr>
          <w:p>
            <w:pPr>
              <w:overflowPunct w:val="0"/>
              <w:contextualSpacing/>
              <w:jc w:val="center"/>
              <w:rPr>
                <w:rFonts w:eastAsia="方正仿宋简体"/>
                <w:color w:val="auto"/>
                <w:sz w:val="28"/>
              </w:rPr>
            </w:pPr>
          </w:p>
        </w:tc>
        <w:tc>
          <w:tcPr>
            <w:tcW w:w="2931" w:type="dxa"/>
            <w:tcBorders>
              <w:tl2br w:val="single" w:color="auto" w:sz="4" w:space="0"/>
              <w:tr2bl w:val="single" w:color="auto" w:sz="4" w:space="0"/>
            </w:tcBorders>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3091" w:type="dxa"/>
            <w:noWrap w:val="0"/>
            <w:vAlign w:val="center"/>
          </w:tcPr>
          <w:p>
            <w:pPr>
              <w:overflowPunct w:val="0"/>
              <w:snapToGrid w:val="0"/>
              <w:contextualSpacing/>
              <w:jc w:val="center"/>
              <w:rPr>
                <w:rFonts w:eastAsia="方正仿宋简体"/>
                <w:color w:val="auto"/>
                <w:sz w:val="28"/>
              </w:rPr>
            </w:pPr>
            <w:r>
              <w:rPr>
                <w:rFonts w:eastAsia="方正仿宋简体"/>
                <w:color w:val="auto"/>
                <w:sz w:val="28"/>
              </w:rPr>
              <w:t>开展校级比赛学校数</w:t>
            </w:r>
          </w:p>
        </w:tc>
        <w:tc>
          <w:tcPr>
            <w:tcW w:w="2904" w:type="dxa"/>
            <w:noWrap w:val="0"/>
            <w:vAlign w:val="center"/>
          </w:tcPr>
          <w:p>
            <w:pPr>
              <w:overflowPunct w:val="0"/>
              <w:contextualSpacing/>
              <w:jc w:val="center"/>
              <w:rPr>
                <w:rFonts w:eastAsia="方正仿宋简体"/>
                <w:color w:val="auto"/>
                <w:sz w:val="28"/>
              </w:rPr>
            </w:pPr>
          </w:p>
        </w:tc>
        <w:tc>
          <w:tcPr>
            <w:tcW w:w="2931" w:type="dxa"/>
            <w:tcBorders>
              <w:tl2br w:val="single" w:color="auto" w:sz="4" w:space="0"/>
              <w:tr2bl w:val="single" w:color="auto" w:sz="4" w:space="0"/>
            </w:tcBorders>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3091" w:type="dxa"/>
            <w:noWrap w:val="0"/>
            <w:vAlign w:val="center"/>
          </w:tcPr>
          <w:p>
            <w:pPr>
              <w:overflowPunct w:val="0"/>
              <w:snapToGrid w:val="0"/>
              <w:contextualSpacing/>
              <w:jc w:val="center"/>
              <w:rPr>
                <w:rFonts w:eastAsia="方正仿宋简体"/>
                <w:color w:val="auto"/>
                <w:sz w:val="28"/>
              </w:rPr>
            </w:pPr>
            <w:r>
              <w:rPr>
                <w:rFonts w:hint="eastAsia" w:eastAsia="方正仿宋简体"/>
                <w:color w:val="auto"/>
                <w:sz w:val="28"/>
              </w:rPr>
              <w:t>校级</w:t>
            </w:r>
            <w:r>
              <w:rPr>
                <w:rFonts w:eastAsia="方正仿宋简体"/>
                <w:color w:val="auto"/>
                <w:sz w:val="28"/>
              </w:rPr>
              <w:t>比赛作品</w:t>
            </w:r>
            <w:r>
              <w:rPr>
                <w:rFonts w:hint="eastAsia" w:eastAsia="方正仿宋简体"/>
                <w:color w:val="auto"/>
                <w:sz w:val="28"/>
              </w:rPr>
              <w:t>总</w:t>
            </w:r>
            <w:r>
              <w:rPr>
                <w:rFonts w:eastAsia="方正仿宋简体"/>
                <w:color w:val="auto"/>
                <w:sz w:val="28"/>
              </w:rPr>
              <w:t>数</w:t>
            </w:r>
          </w:p>
        </w:tc>
        <w:tc>
          <w:tcPr>
            <w:tcW w:w="2904" w:type="dxa"/>
            <w:noWrap w:val="0"/>
            <w:vAlign w:val="center"/>
          </w:tcPr>
          <w:p>
            <w:pPr>
              <w:overflowPunct w:val="0"/>
              <w:contextualSpacing/>
              <w:jc w:val="center"/>
              <w:rPr>
                <w:rFonts w:eastAsia="方正仿宋简体"/>
                <w:color w:val="auto"/>
                <w:sz w:val="28"/>
              </w:rPr>
            </w:pPr>
          </w:p>
        </w:tc>
        <w:tc>
          <w:tcPr>
            <w:tcW w:w="2931" w:type="dxa"/>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091"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校级比赛参赛教师数</w:t>
            </w:r>
          </w:p>
        </w:tc>
        <w:tc>
          <w:tcPr>
            <w:tcW w:w="2904" w:type="dxa"/>
            <w:noWrap w:val="0"/>
            <w:vAlign w:val="center"/>
          </w:tcPr>
          <w:p>
            <w:pPr>
              <w:overflowPunct w:val="0"/>
              <w:contextualSpacing/>
              <w:jc w:val="center"/>
              <w:rPr>
                <w:rFonts w:eastAsia="方正仿宋简体"/>
                <w:color w:val="auto"/>
                <w:sz w:val="28"/>
              </w:rPr>
            </w:pPr>
          </w:p>
        </w:tc>
        <w:tc>
          <w:tcPr>
            <w:tcW w:w="2931" w:type="dxa"/>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3091"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市级比赛作品总数</w:t>
            </w:r>
          </w:p>
        </w:tc>
        <w:tc>
          <w:tcPr>
            <w:tcW w:w="2904" w:type="dxa"/>
            <w:noWrap w:val="0"/>
            <w:vAlign w:val="center"/>
          </w:tcPr>
          <w:p>
            <w:pPr>
              <w:overflowPunct w:val="0"/>
              <w:contextualSpacing/>
              <w:jc w:val="center"/>
              <w:rPr>
                <w:rFonts w:eastAsia="方正仿宋简体"/>
                <w:color w:val="auto"/>
                <w:sz w:val="28"/>
              </w:rPr>
            </w:pPr>
          </w:p>
        </w:tc>
        <w:tc>
          <w:tcPr>
            <w:tcW w:w="2931" w:type="dxa"/>
            <w:tcBorders>
              <w:tl2br w:val="single" w:color="auto" w:sz="4" w:space="0"/>
              <w:tr2bl w:val="single" w:color="auto" w:sz="4" w:space="0"/>
            </w:tcBorders>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3091"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市级比赛参赛教师数</w:t>
            </w:r>
          </w:p>
        </w:tc>
        <w:tc>
          <w:tcPr>
            <w:tcW w:w="2904" w:type="dxa"/>
            <w:noWrap w:val="0"/>
            <w:vAlign w:val="center"/>
          </w:tcPr>
          <w:p>
            <w:pPr>
              <w:overflowPunct w:val="0"/>
              <w:contextualSpacing/>
              <w:jc w:val="center"/>
              <w:rPr>
                <w:rFonts w:eastAsia="方正仿宋简体"/>
                <w:color w:val="auto"/>
                <w:sz w:val="28"/>
              </w:rPr>
            </w:pPr>
          </w:p>
        </w:tc>
        <w:tc>
          <w:tcPr>
            <w:tcW w:w="2931" w:type="dxa"/>
            <w:tcBorders>
              <w:tl2br w:val="single" w:color="auto" w:sz="4" w:space="0"/>
              <w:tr2bl w:val="single" w:color="auto" w:sz="4" w:space="0"/>
            </w:tcBorders>
            <w:noWrap w:val="0"/>
            <w:vAlign w:val="center"/>
          </w:tcPr>
          <w:p>
            <w:pPr>
              <w:overflowPunct w:val="0"/>
              <w:contextualSpacing/>
              <w:jc w:val="center"/>
              <w:rPr>
                <w:rFonts w:eastAsia="方正仿宋简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3091"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市级</w:t>
            </w:r>
            <w:r>
              <w:rPr>
                <w:rFonts w:eastAsia="方正仿宋简体"/>
                <w:color w:val="auto"/>
                <w:sz w:val="28"/>
              </w:rPr>
              <w:t>比赛时间</w:t>
            </w:r>
          </w:p>
        </w:tc>
        <w:tc>
          <w:tcPr>
            <w:tcW w:w="2904" w:type="dxa"/>
            <w:noWrap w:val="0"/>
            <w:vAlign w:val="center"/>
          </w:tcPr>
          <w:p>
            <w:pPr>
              <w:overflowPunct w:val="0"/>
              <w:contextualSpacing/>
              <w:jc w:val="center"/>
              <w:rPr>
                <w:rFonts w:eastAsia="方正仿宋简体"/>
                <w:color w:val="auto"/>
                <w:sz w:val="28"/>
              </w:rPr>
            </w:pPr>
          </w:p>
        </w:tc>
        <w:tc>
          <w:tcPr>
            <w:tcW w:w="2931" w:type="dxa"/>
            <w:noWrap w:val="0"/>
            <w:vAlign w:val="top"/>
          </w:tcPr>
          <w:p>
            <w:pPr>
              <w:overflowPunct w:val="0"/>
              <w:spacing w:line="300" w:lineRule="exact"/>
              <w:contextualSpacing/>
              <w:rPr>
                <w:rFonts w:eastAsia="方正仿宋简体"/>
                <w:color w:val="auto"/>
                <w:sz w:val="18"/>
                <w:szCs w:val="16"/>
              </w:rPr>
            </w:pPr>
            <w:r>
              <w:rPr>
                <w:rFonts w:hint="eastAsia" w:eastAsia="方正仿宋简体"/>
                <w:color w:val="auto"/>
                <w:sz w:val="18"/>
                <w:szCs w:val="16"/>
              </w:rPr>
              <w:t>（填校级比赛时间）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3091" w:type="dxa"/>
            <w:noWrap w:val="0"/>
            <w:vAlign w:val="center"/>
          </w:tcPr>
          <w:p>
            <w:pPr>
              <w:overflowPunct w:val="0"/>
              <w:contextualSpacing/>
              <w:jc w:val="center"/>
              <w:rPr>
                <w:rFonts w:eastAsia="方正仿宋简体"/>
                <w:color w:val="auto"/>
                <w:sz w:val="28"/>
              </w:rPr>
            </w:pPr>
            <w:r>
              <w:rPr>
                <w:rFonts w:hint="eastAsia" w:eastAsia="方正仿宋简体"/>
                <w:color w:val="auto"/>
                <w:sz w:val="28"/>
              </w:rPr>
              <w:t>市</w:t>
            </w:r>
            <w:r>
              <w:rPr>
                <w:rFonts w:eastAsia="方正仿宋简体"/>
                <w:color w:val="auto"/>
                <w:sz w:val="28"/>
              </w:rPr>
              <w:t>级比赛地点</w:t>
            </w:r>
          </w:p>
        </w:tc>
        <w:tc>
          <w:tcPr>
            <w:tcW w:w="2904" w:type="dxa"/>
            <w:noWrap w:val="0"/>
            <w:vAlign w:val="center"/>
          </w:tcPr>
          <w:p>
            <w:pPr>
              <w:overflowPunct w:val="0"/>
              <w:contextualSpacing/>
              <w:jc w:val="center"/>
              <w:rPr>
                <w:rFonts w:eastAsia="方正仿宋简体"/>
                <w:color w:val="auto"/>
                <w:sz w:val="28"/>
              </w:rPr>
            </w:pPr>
          </w:p>
        </w:tc>
        <w:tc>
          <w:tcPr>
            <w:tcW w:w="2931" w:type="dxa"/>
            <w:noWrap w:val="0"/>
            <w:vAlign w:val="top"/>
          </w:tcPr>
          <w:p>
            <w:pPr>
              <w:overflowPunct w:val="0"/>
              <w:spacing w:line="300" w:lineRule="exact"/>
              <w:contextualSpacing/>
              <w:rPr>
                <w:rFonts w:eastAsia="方正仿宋简体"/>
                <w:color w:val="auto"/>
                <w:sz w:val="28"/>
              </w:rPr>
            </w:pPr>
            <w:r>
              <w:rPr>
                <w:rFonts w:hint="eastAsia" w:eastAsia="方正仿宋简体"/>
                <w:color w:val="auto"/>
                <w:sz w:val="18"/>
                <w:szCs w:val="16"/>
              </w:rPr>
              <w:t>（填校级比赛地点）</w:t>
            </w:r>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eastAsia="方正仿宋简体"/>
          <w:color w:val="auto"/>
          <w:kern w:val="0"/>
          <w:sz w:val="24"/>
        </w:rPr>
      </w:pPr>
      <w:r>
        <w:rPr>
          <w:rFonts w:eastAsia="方正仿宋简体"/>
          <w:color w:val="auto"/>
          <w:kern w:val="0"/>
          <w:sz w:val="24"/>
        </w:rPr>
        <w:t>注：</w:t>
      </w:r>
      <w:r>
        <w:rPr>
          <w:rFonts w:hint="eastAsia" w:eastAsia="方正仿宋简体"/>
          <w:color w:val="auto"/>
          <w:kern w:val="0"/>
          <w:sz w:val="24"/>
        </w:rPr>
        <w:t>高职院校、省属中职学校和示范性应用型本科高校、新建本科院校（有专科在校生）福建技术师范学院直接填报校级比赛情况相关数据。</w:t>
      </w:r>
    </w:p>
    <w:p>
      <w:pPr>
        <w:widowControl/>
        <w:shd w:val="clear" w:color="auto" w:fill="FFFFFF"/>
        <w:spacing w:line="276" w:lineRule="auto"/>
        <w:ind w:left="565" w:hanging="626"/>
        <w:jc w:val="left"/>
        <w:rPr>
          <w:rFonts w:ascii="黑体" w:hAnsi="黑体" w:eastAsia="黑体" w:cs="黑体"/>
          <w:color w:val="auto"/>
          <w:spacing w:val="-4"/>
          <w:sz w:val="32"/>
          <w:szCs w:val="32"/>
        </w:rPr>
      </w:pPr>
      <w:r>
        <w:rPr>
          <w:rFonts w:hint="eastAsia" w:eastAsia="方正仿宋简体"/>
          <w:color w:val="auto"/>
          <w:kern w:val="0"/>
          <w:sz w:val="24"/>
        </w:rPr>
        <w:br w:type="page"/>
      </w:r>
      <w:r>
        <w:rPr>
          <w:rFonts w:hint="eastAsia" w:ascii="黑体" w:hAnsi="黑体" w:eastAsia="黑体" w:cs="黑体"/>
          <w:color w:val="auto"/>
          <w:spacing w:val="-4"/>
          <w:sz w:val="32"/>
          <w:szCs w:val="32"/>
        </w:rPr>
        <w:t>附件</w:t>
      </w:r>
      <w:r>
        <w:rPr>
          <w:rFonts w:ascii="黑体" w:hAnsi="黑体" w:eastAsia="黑体" w:cs="黑体"/>
          <w:color w:val="auto"/>
          <w:spacing w:val="-4"/>
          <w:sz w:val="32"/>
          <w:szCs w:val="32"/>
        </w:rPr>
        <w:t>6</w:t>
      </w:r>
    </w:p>
    <w:p>
      <w:pPr>
        <w:widowControl/>
        <w:shd w:val="clear" w:color="auto" w:fill="FFFFFF"/>
        <w:spacing w:line="440" w:lineRule="exact"/>
        <w:jc w:val="center"/>
        <w:rPr>
          <w:rFonts w:ascii="方正小标宋简体" w:hAnsi="方正小标宋简体" w:eastAsia="方正小标宋简体" w:cs="方正小标宋简体"/>
          <w:color w:val="auto"/>
          <w:sz w:val="36"/>
          <w:szCs w:val="36"/>
        </w:rPr>
      </w:pPr>
    </w:p>
    <w:p>
      <w:pPr>
        <w:widowControl/>
        <w:shd w:val="clear" w:color="auto" w:fill="FFFFFF"/>
        <w:spacing w:line="44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关于2022年福建省职业院校技能大赛</w:t>
      </w:r>
    </w:p>
    <w:p>
      <w:pPr>
        <w:widowControl/>
        <w:shd w:val="clear" w:color="auto" w:fill="FFFFFF"/>
        <w:spacing w:line="44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教学能力比赛专家库人选推荐要求</w:t>
      </w:r>
    </w:p>
    <w:p>
      <w:pPr>
        <w:spacing w:line="62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kern w:val="0"/>
          <w:sz w:val="32"/>
          <w:szCs w:val="32"/>
          <w:lang w:bidi="ar"/>
        </w:rPr>
      </w:pPr>
      <w:r>
        <w:rPr>
          <w:rFonts w:hint="eastAsia" w:ascii="仿宋_GB2312" w:hAnsi="仿宋" w:eastAsia="仿宋_GB2312"/>
          <w:color w:val="auto"/>
          <w:sz w:val="32"/>
          <w:szCs w:val="32"/>
        </w:rPr>
        <w:t>为更好服务我省职业院校技能大赛教学能力比赛工作，提高</w:t>
      </w:r>
      <w:r>
        <w:rPr>
          <w:rFonts w:hint="eastAsia" w:ascii="仿宋_GB2312" w:hAnsi="仿宋" w:eastAsia="仿宋_GB2312"/>
          <w:color w:val="auto"/>
          <w:sz w:val="32"/>
          <w:szCs w:val="32"/>
          <w:lang w:eastAsia="zh-CN"/>
        </w:rPr>
        <w:t>办赛</w:t>
      </w:r>
      <w:r>
        <w:rPr>
          <w:rFonts w:hint="eastAsia" w:ascii="仿宋_GB2312" w:hAnsi="仿宋" w:eastAsia="仿宋_GB2312"/>
          <w:color w:val="auto"/>
          <w:sz w:val="32"/>
          <w:szCs w:val="32"/>
        </w:rPr>
        <w:t>水平，</w:t>
      </w:r>
      <w:r>
        <w:rPr>
          <w:rFonts w:hint="eastAsia" w:ascii="仿宋_GB2312" w:hAnsi="仿宋_GB2312" w:eastAsia="仿宋_GB2312" w:cs="仿宋_GB2312"/>
          <w:color w:val="auto"/>
          <w:kern w:val="0"/>
          <w:sz w:val="32"/>
          <w:szCs w:val="32"/>
          <w:lang w:bidi="ar"/>
        </w:rPr>
        <w:t>经研究，决定面向</w:t>
      </w:r>
      <w:r>
        <w:rPr>
          <w:rFonts w:hint="eastAsia" w:ascii="仿宋_GB2312" w:hAnsi="仿宋" w:eastAsia="仿宋_GB2312"/>
          <w:bCs/>
          <w:color w:val="auto"/>
          <w:sz w:val="32"/>
          <w:szCs w:val="32"/>
        </w:rPr>
        <w:t>各设区市教育局、平潭综合实验区社会事业局，</w:t>
      </w:r>
      <w:r>
        <w:rPr>
          <w:rFonts w:hint="eastAsia" w:ascii="仿宋_GB2312" w:hAnsi="仿宋_GB2312" w:eastAsia="仿宋_GB2312" w:cs="仿宋_GB2312"/>
          <w:color w:val="auto"/>
          <w:kern w:val="0"/>
          <w:sz w:val="32"/>
          <w:szCs w:val="32"/>
          <w:lang w:bidi="ar"/>
        </w:rPr>
        <w:t>本科院校、高职院校，省属中职学校和有关单位征集专家加入“福建省职业院校技能大赛教学能力比赛专家库”。现将有关事项通知如下：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一、基本条件</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治立场坚定，拥护党的领导，坚持正确的国家观、民族观、历史观、文化观、宗教观，有很强的政治鉴别力和政治敏锐性，作风正派，廉洁公正，严守组织纪律，服从组织安排，没有违背党的理论和路线方针政策的言行，无违法违纪记录。</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2.热爱职业教育事业，具有良好的职业道德，责任心强，工作严谨，在职业教育教学领域工作经验丰富</w:t>
      </w:r>
      <w:r>
        <w:rPr>
          <w:rFonts w:hint="eastAsia" w:ascii="仿宋_GB2312" w:hAnsi="仿宋_GB2312" w:eastAsia="仿宋_GB2312" w:cs="仿宋_GB2312"/>
          <w:color w:val="auto"/>
          <w:sz w:val="32"/>
          <w:szCs w:val="32"/>
          <w:lang w:eastAsia="zh-CN"/>
        </w:rPr>
        <w:t>，具有较高信息技术应用能力和教研科研能力，</w:t>
      </w:r>
      <w:r>
        <w:rPr>
          <w:rFonts w:hint="eastAsia" w:ascii="仿宋_GB2312" w:hAnsi="仿宋_GB2312" w:eastAsia="仿宋_GB2312" w:cs="仿宋_GB2312"/>
          <w:color w:val="auto"/>
          <w:sz w:val="32"/>
          <w:szCs w:val="32"/>
        </w:rPr>
        <w:t>熟悉相关专业领域教学改革进展情况和国家教学标准等教学基本文件，主持、参加过国家、省级专业群建设的负责人优先推荐。</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3.参加过教学能力比赛评选活动并担任过省级、国家级评委的优先推荐。</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4.曾指导参赛团队并获得教学能力</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国赛一等奖、二等奖和省赛一等奖，能够对参赛作品提供全方位、多角度的专业指导的优先推荐</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5.具有副高级及以上专业技术职务，近三年中曾获教学能力</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国赛二等奖以上的参赛教学团队成员可适当放宽要求。</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6.专业带头人、双师型教师、省级以上教学名师、国家级教学成果</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等奖以上主持人、二级教授等优先推荐。</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7.身体健康，年龄原则上不超过65周岁。</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8.坚持自愿原则，且能够保证承担相关工作的时间和精力，按要求完成指定任务，所在单位能够为其提供有关支持和条件保障。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二、推荐要求</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1.本次专家推荐工作不属于评奖、评优或专家资质认定范畴，不发放聘书，不发文公布专家名单。各地区、院校、单位推荐的专家将统一纳入专家库，作为储备专家资源。</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2.各地各单位</w:t>
      </w:r>
      <w:r>
        <w:rPr>
          <w:rFonts w:hint="eastAsia" w:ascii="仿宋_GB2312" w:hAnsi="仿宋_GB2312" w:eastAsia="仿宋_GB2312" w:cs="仿宋_GB2312"/>
          <w:color w:val="auto"/>
          <w:sz w:val="32"/>
          <w:szCs w:val="32"/>
          <w:lang w:eastAsia="zh-CN"/>
        </w:rPr>
        <w:t>也可</w:t>
      </w:r>
      <w:r>
        <w:rPr>
          <w:rFonts w:hint="eastAsia" w:ascii="仿宋_GB2312" w:hAnsi="仿宋_GB2312" w:eastAsia="仿宋_GB2312" w:cs="仿宋_GB2312"/>
          <w:color w:val="auto"/>
          <w:sz w:val="32"/>
          <w:szCs w:val="32"/>
        </w:rPr>
        <w:t>推荐省外来自高职院校、本科院校、教科研</w:t>
      </w:r>
      <w:r>
        <w:rPr>
          <w:rFonts w:hint="eastAsia" w:ascii="仿宋_GB2312" w:hAnsi="仿宋_GB2312" w:eastAsia="仿宋_GB2312" w:cs="仿宋_GB2312"/>
          <w:color w:val="auto"/>
          <w:sz w:val="32"/>
          <w:szCs w:val="32"/>
          <w:lang w:eastAsia="zh-CN"/>
        </w:rPr>
        <w:t>单位等</w:t>
      </w:r>
      <w:r>
        <w:rPr>
          <w:rFonts w:hint="eastAsia" w:ascii="仿宋_GB2312" w:hAnsi="仿宋_GB2312" w:eastAsia="仿宋_GB2312" w:cs="仿宋_GB2312"/>
          <w:color w:val="auto"/>
          <w:sz w:val="32"/>
          <w:szCs w:val="32"/>
        </w:rPr>
        <w:t>机构的专家</w:t>
      </w:r>
      <w:r>
        <w:rPr>
          <w:rFonts w:hint="eastAsia" w:ascii="仿宋_GB2312" w:hAnsi="仿宋_GB2312" w:eastAsia="仿宋_GB2312" w:cs="仿宋_GB2312"/>
          <w:color w:val="auto"/>
          <w:sz w:val="32"/>
          <w:szCs w:val="32"/>
          <w:lang w:eastAsia="zh-CN"/>
        </w:rPr>
        <w:t>，以及国赛一等奖教学团队的成员</w:t>
      </w:r>
      <w:r>
        <w:rPr>
          <w:rFonts w:hint="eastAsia" w:ascii="仿宋_GB2312" w:hAnsi="仿宋_GB2312" w:eastAsia="仿宋_GB2312" w:cs="仿宋_GB2312"/>
          <w:color w:val="auto"/>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三、推荐办法</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w:t>
      </w:r>
      <w:r>
        <w:rPr>
          <w:rFonts w:hint="eastAsia" w:ascii="仿宋_GB2312" w:hAnsi="仿宋_GB2312" w:eastAsia="仿宋_GB2312" w:cs="仿宋_GB2312"/>
          <w:color w:val="auto"/>
          <w:kern w:val="0"/>
          <w:sz w:val="32"/>
          <w:szCs w:val="32"/>
          <w:lang w:bidi="ar"/>
        </w:rPr>
        <w:t>荐单位需与所推荐人员进行事前沟通，确定意愿，同时需</w:t>
      </w:r>
      <w:r>
        <w:rPr>
          <w:rFonts w:hint="eastAsia" w:ascii="仿宋_GB2312" w:hAnsi="仿宋_GB2312" w:eastAsia="仿宋_GB2312" w:cs="仿宋_GB2312"/>
          <w:color w:val="auto"/>
          <w:sz w:val="32"/>
          <w:szCs w:val="32"/>
        </w:rPr>
        <w:t>审查《福建省职业院校技能大赛教学能力比赛专家推荐表》（表1）和《福建省职业院校技能大赛教学能力比赛专家推荐汇总表》（表2），并于3月31日前将电子版（word格式）及盖章扫描件（PDF格式）发送至省电教馆邮箱。</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2.省电教馆联系人：张航，电话：0591-87752763，电子邮箱：490899185</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qq.com，地址：福建省福州市五四路217号电教大楼503室（邮编：350003）。</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ascii="仿宋_GB2312" w:hAnsi="仿宋_GB2312" w:eastAsia="仿宋_GB2312" w:cs="仿宋_GB2312"/>
          <w:color w:val="auto"/>
          <w:sz w:val="32"/>
          <w:szCs w:val="32"/>
          <w:lang w:eastAsia="zh"/>
        </w:rPr>
      </w:pPr>
      <w:r>
        <w:rPr>
          <w:rFonts w:hint="eastAsia" w:ascii="仿宋_GB2312" w:hAnsi="仿宋_GB2312" w:eastAsia="仿宋_GB2312" w:cs="仿宋_GB2312"/>
          <w:color w:val="auto"/>
          <w:sz w:val="32"/>
          <w:szCs w:val="32"/>
        </w:rPr>
        <w:t>省教育厅职成处联系人：黄颖，电话：0591-87091243。</w:t>
      </w:r>
    </w:p>
    <w:p>
      <w:pPr>
        <w:ind w:firstLine="320" w:firstLineChars="100"/>
        <w:jc w:val="left"/>
        <w:rPr>
          <w:rStyle w:val="12"/>
          <w:rFonts w:hint="eastAsia" w:hAnsi="黑体"/>
          <w:color w:val="auto"/>
          <w:sz w:val="32"/>
          <w:szCs w:val="32"/>
          <w:lang w:bidi="ar"/>
        </w:rPr>
      </w:pPr>
    </w:p>
    <w:p>
      <w:pPr>
        <w:ind w:firstLine="320" w:firstLineChars="100"/>
        <w:jc w:val="left"/>
        <w:rPr>
          <w:rFonts w:ascii="方正小标宋_GBK" w:hAnsi="方正小标宋_GBK" w:eastAsia="方正小标宋_GBK" w:cs="方正小标宋_GBK"/>
          <w:color w:val="auto"/>
          <w:sz w:val="40"/>
          <w:szCs w:val="40"/>
        </w:rPr>
      </w:pPr>
      <w:r>
        <w:rPr>
          <w:rStyle w:val="12"/>
          <w:rFonts w:hint="eastAsia" w:hAnsi="黑体"/>
          <w:color w:val="auto"/>
          <w:sz w:val="32"/>
          <w:szCs w:val="32"/>
          <w:lang w:bidi="ar"/>
        </w:rPr>
        <w:t>表</w:t>
      </w:r>
      <w:r>
        <w:rPr>
          <w:rStyle w:val="13"/>
          <w:rFonts w:hint="eastAsia" w:ascii="黑体" w:hAnsi="黑体" w:eastAsia="黑体" w:cs="黑体"/>
          <w:color w:val="auto"/>
          <w:sz w:val="32"/>
          <w:szCs w:val="32"/>
          <w:lang w:bidi="ar"/>
        </w:rPr>
        <w:t>1</w:t>
      </w:r>
    </w:p>
    <w:p>
      <w:pPr>
        <w:spacing w:line="500" w:lineRule="exact"/>
        <w:jc w:val="center"/>
        <w:rPr>
          <w:rFonts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福建省职业院校技能大赛教学能力比赛</w:t>
      </w:r>
    </w:p>
    <w:p>
      <w:pPr>
        <w:spacing w:line="500" w:lineRule="exact"/>
        <w:jc w:val="center"/>
        <w:rPr>
          <w:rFonts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专家推荐表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383"/>
        <w:gridCol w:w="1541"/>
        <w:gridCol w:w="1377"/>
        <w:gridCol w:w="1174"/>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5" w:type="dxa"/>
            <w:tcBorders>
              <w:top w:val="single" w:color="auto" w:sz="8" w:space="0"/>
            </w:tcBorders>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推荐单位</w:t>
            </w:r>
          </w:p>
        </w:tc>
        <w:tc>
          <w:tcPr>
            <w:tcW w:w="6819" w:type="dxa"/>
            <w:gridSpan w:val="5"/>
            <w:tcBorders>
              <w:top w:val="single" w:color="auto" w:sz="8" w:space="0"/>
            </w:tcBorders>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385" w:type="dxa"/>
            <w:tcBorders>
              <w:top w:val="single" w:color="auto" w:sz="8" w:space="0"/>
            </w:tcBorders>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姓   名</w:t>
            </w:r>
          </w:p>
        </w:tc>
        <w:tc>
          <w:tcPr>
            <w:tcW w:w="1383" w:type="dxa"/>
            <w:noWrap w:val="0"/>
            <w:vAlign w:val="center"/>
          </w:tcPr>
          <w:p>
            <w:pPr>
              <w:adjustRightInd w:val="0"/>
              <w:snapToGrid w:val="0"/>
              <w:spacing w:line="400" w:lineRule="exact"/>
              <w:jc w:val="center"/>
              <w:rPr>
                <w:rFonts w:ascii="宋体" w:hAnsi="宋体"/>
                <w:color w:val="auto"/>
                <w:sz w:val="24"/>
              </w:rPr>
            </w:pPr>
          </w:p>
        </w:tc>
        <w:tc>
          <w:tcPr>
            <w:tcW w:w="1541" w:type="dxa"/>
            <w:noWrap w:val="0"/>
            <w:vAlign w:val="center"/>
          </w:tcPr>
          <w:p>
            <w:pPr>
              <w:adjustRightInd w:val="0"/>
              <w:snapToGrid w:val="0"/>
              <w:spacing w:line="400" w:lineRule="exact"/>
              <w:jc w:val="center"/>
              <w:rPr>
                <w:rFonts w:ascii="宋体" w:hAnsi="宋体"/>
                <w:color w:val="auto"/>
                <w:sz w:val="24"/>
              </w:rPr>
            </w:pPr>
            <w:r>
              <w:rPr>
                <w:rFonts w:hint="eastAsia" w:ascii="宋体" w:hAnsi="宋体" w:cs="Arial"/>
                <w:color w:val="auto"/>
                <w:sz w:val="24"/>
              </w:rPr>
              <w:t>性别</w:t>
            </w:r>
          </w:p>
        </w:tc>
        <w:tc>
          <w:tcPr>
            <w:tcW w:w="1377" w:type="dxa"/>
            <w:noWrap w:val="0"/>
            <w:vAlign w:val="center"/>
          </w:tcPr>
          <w:p>
            <w:pPr>
              <w:adjustRightInd w:val="0"/>
              <w:snapToGrid w:val="0"/>
              <w:spacing w:line="400" w:lineRule="exact"/>
              <w:jc w:val="center"/>
              <w:rPr>
                <w:rFonts w:ascii="宋体" w:hAnsi="宋体"/>
                <w:color w:val="auto"/>
                <w:sz w:val="24"/>
              </w:rPr>
            </w:pPr>
          </w:p>
        </w:tc>
        <w:tc>
          <w:tcPr>
            <w:tcW w:w="1174" w:type="dxa"/>
            <w:noWrap w:val="0"/>
            <w:vAlign w:val="center"/>
          </w:tcPr>
          <w:p>
            <w:pPr>
              <w:adjustRightInd w:val="0"/>
              <w:snapToGrid w:val="0"/>
              <w:spacing w:line="400" w:lineRule="exact"/>
              <w:jc w:val="center"/>
              <w:rPr>
                <w:rFonts w:ascii="宋体" w:hAnsi="宋体"/>
                <w:color w:val="auto"/>
                <w:sz w:val="24"/>
              </w:rPr>
            </w:pPr>
            <w:r>
              <w:rPr>
                <w:rFonts w:hint="eastAsia" w:ascii="宋体" w:hAnsi="宋体" w:cs="Arial"/>
                <w:color w:val="auto"/>
                <w:sz w:val="24"/>
              </w:rPr>
              <w:t>年龄</w:t>
            </w:r>
          </w:p>
        </w:tc>
        <w:tc>
          <w:tcPr>
            <w:tcW w:w="1344" w:type="dxa"/>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385" w:type="dxa"/>
            <w:tcBorders>
              <w:top w:val="single" w:color="auto" w:sz="8" w:space="0"/>
            </w:tcBorders>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工作单位</w:t>
            </w:r>
          </w:p>
        </w:tc>
        <w:tc>
          <w:tcPr>
            <w:tcW w:w="6819" w:type="dxa"/>
            <w:gridSpan w:val="5"/>
            <w:tcBorders>
              <w:top w:val="single" w:color="auto" w:sz="8" w:space="0"/>
            </w:tcBorders>
            <w:noWrap w:val="0"/>
            <w:vAlign w:val="center"/>
          </w:tcPr>
          <w:p>
            <w:pPr>
              <w:adjustRightInd w:val="0"/>
              <w:snapToGrid w:val="0"/>
              <w:spacing w:line="4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85" w:type="dxa"/>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行政</w:t>
            </w:r>
            <w:r>
              <w:rPr>
                <w:rFonts w:ascii="宋体" w:hAnsi="宋体" w:cs="Arial"/>
                <w:color w:val="auto"/>
                <w:sz w:val="24"/>
              </w:rPr>
              <w:t>职务</w:t>
            </w:r>
            <w:r>
              <w:rPr>
                <w:rFonts w:hint="eastAsia" w:ascii="宋体" w:hAnsi="宋体" w:cs="Arial"/>
                <w:b/>
                <w:color w:val="auto"/>
                <w:sz w:val="24"/>
                <w:vertAlign w:val="superscript"/>
              </w:rPr>
              <w:t>1</w:t>
            </w:r>
          </w:p>
        </w:tc>
        <w:tc>
          <w:tcPr>
            <w:tcW w:w="1383" w:type="dxa"/>
            <w:noWrap w:val="0"/>
            <w:vAlign w:val="center"/>
          </w:tcPr>
          <w:p>
            <w:pPr>
              <w:adjustRightInd w:val="0"/>
              <w:snapToGrid w:val="0"/>
              <w:spacing w:line="400" w:lineRule="exact"/>
              <w:jc w:val="center"/>
              <w:rPr>
                <w:rFonts w:ascii="宋体" w:hAnsi="宋体"/>
                <w:color w:val="auto"/>
                <w:sz w:val="24"/>
              </w:rPr>
            </w:pPr>
          </w:p>
        </w:tc>
        <w:tc>
          <w:tcPr>
            <w:tcW w:w="2918" w:type="dxa"/>
            <w:gridSpan w:val="2"/>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专业技术职务/职称</w:t>
            </w:r>
          </w:p>
        </w:tc>
        <w:tc>
          <w:tcPr>
            <w:tcW w:w="2518" w:type="dxa"/>
            <w:gridSpan w:val="2"/>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85" w:type="dxa"/>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手机号码</w:t>
            </w:r>
          </w:p>
        </w:tc>
        <w:tc>
          <w:tcPr>
            <w:tcW w:w="1383" w:type="dxa"/>
            <w:noWrap w:val="0"/>
            <w:vAlign w:val="center"/>
          </w:tcPr>
          <w:p>
            <w:pPr>
              <w:adjustRightInd w:val="0"/>
              <w:snapToGrid w:val="0"/>
              <w:spacing w:line="400" w:lineRule="exact"/>
              <w:jc w:val="center"/>
              <w:rPr>
                <w:rFonts w:ascii="宋体" w:hAnsi="宋体"/>
                <w:color w:val="auto"/>
                <w:sz w:val="24"/>
              </w:rPr>
            </w:pPr>
          </w:p>
        </w:tc>
        <w:tc>
          <w:tcPr>
            <w:tcW w:w="2918" w:type="dxa"/>
            <w:gridSpan w:val="2"/>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电子邮箱</w:t>
            </w:r>
          </w:p>
        </w:tc>
        <w:tc>
          <w:tcPr>
            <w:tcW w:w="2518" w:type="dxa"/>
            <w:gridSpan w:val="2"/>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385" w:type="dxa"/>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所学专业、学历</w:t>
            </w:r>
          </w:p>
        </w:tc>
        <w:tc>
          <w:tcPr>
            <w:tcW w:w="6819" w:type="dxa"/>
            <w:gridSpan w:val="5"/>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385" w:type="dxa"/>
            <w:noWrap w:val="0"/>
            <w:vAlign w:val="center"/>
          </w:tcPr>
          <w:p>
            <w:pPr>
              <w:spacing w:line="400" w:lineRule="exact"/>
              <w:jc w:val="center"/>
              <w:rPr>
                <w:rFonts w:ascii="宋体" w:hAnsi="宋体" w:cs="Arial"/>
                <w:color w:val="auto"/>
                <w:sz w:val="24"/>
              </w:rPr>
            </w:pPr>
            <w:r>
              <w:rPr>
                <w:rFonts w:hint="eastAsia" w:ascii="宋体" w:hAnsi="宋体" w:cs="Arial"/>
                <w:color w:val="auto"/>
                <w:sz w:val="24"/>
              </w:rPr>
              <w:t>擅长专业领域</w:t>
            </w:r>
            <w:r>
              <w:rPr>
                <w:rFonts w:hint="eastAsia" w:ascii="宋体" w:hAnsi="宋体" w:cs="Arial"/>
                <w:b/>
                <w:color w:val="auto"/>
                <w:sz w:val="24"/>
                <w:vertAlign w:val="superscript"/>
              </w:rPr>
              <w:t>2</w:t>
            </w:r>
          </w:p>
        </w:tc>
        <w:tc>
          <w:tcPr>
            <w:tcW w:w="6819" w:type="dxa"/>
            <w:gridSpan w:val="5"/>
            <w:noWrap w:val="0"/>
            <w:vAlign w:val="top"/>
          </w:tcPr>
          <w:p>
            <w:pPr>
              <w:adjustRightInd w:val="0"/>
              <w:snapToGrid w:val="0"/>
              <w:spacing w:line="400" w:lineRule="exact"/>
              <w:rPr>
                <w:rFonts w:ascii="宋体" w:hAnsi="宋体"/>
                <w:color w:val="auto"/>
                <w:sz w:val="24"/>
              </w:rPr>
            </w:pPr>
            <w:r>
              <w:rPr>
                <w:rFonts w:hint="eastAsia" w:ascii="宋体" w:hAnsi="宋体"/>
                <w:color w:val="auto"/>
                <w:sz w:val="24"/>
              </w:rPr>
              <w:t>（例：高职-公共课程—创新创业教育、中职-专业课-61农林牧渔大类、6101农业类、610105园艺技术）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85" w:type="dxa"/>
            <w:noWrap w:val="0"/>
            <w:vAlign w:val="center"/>
          </w:tcPr>
          <w:p>
            <w:pPr>
              <w:spacing w:line="380" w:lineRule="exact"/>
              <w:jc w:val="center"/>
              <w:rPr>
                <w:rFonts w:ascii="宋体" w:hAnsi="宋体" w:cs="Arial"/>
                <w:color w:val="auto"/>
                <w:sz w:val="24"/>
              </w:rPr>
            </w:pPr>
            <w:r>
              <w:rPr>
                <w:rFonts w:hint="eastAsia" w:ascii="宋体" w:hAnsi="宋体" w:cs="Arial"/>
                <w:color w:val="auto"/>
                <w:sz w:val="24"/>
              </w:rPr>
              <w:t>教学能力比赛</w:t>
            </w:r>
            <w:r>
              <w:rPr>
                <w:rFonts w:hint="eastAsia" w:ascii="宋体" w:hAnsi="宋体" w:cs="Arial"/>
                <w:color w:val="auto"/>
                <w:sz w:val="24"/>
                <w:lang w:eastAsia="zh-CN"/>
              </w:rPr>
              <w:t>省赛</w:t>
            </w:r>
            <w:r>
              <w:rPr>
                <w:rFonts w:hint="eastAsia" w:ascii="宋体" w:hAnsi="宋体" w:cs="Arial"/>
                <w:color w:val="auto"/>
                <w:sz w:val="24"/>
                <w:lang w:val="en-US" w:eastAsia="zh-CN"/>
              </w:rPr>
              <w:t>/国赛</w:t>
            </w:r>
            <w:r>
              <w:rPr>
                <w:rFonts w:hint="eastAsia" w:ascii="宋体" w:hAnsi="宋体" w:cs="Arial"/>
                <w:color w:val="auto"/>
                <w:sz w:val="24"/>
              </w:rPr>
              <w:t>评审经历</w:t>
            </w:r>
          </w:p>
          <w:p>
            <w:pPr>
              <w:spacing w:line="380" w:lineRule="exact"/>
              <w:jc w:val="center"/>
              <w:rPr>
                <w:rFonts w:hint="eastAsia" w:ascii="宋体" w:hAnsi="宋体" w:eastAsia="宋体" w:cs="Arial"/>
                <w:color w:val="auto"/>
                <w:kern w:val="2"/>
                <w:sz w:val="24"/>
                <w:szCs w:val="24"/>
                <w:lang w:val="en-US" w:eastAsia="zh-CN" w:bidi="ar-SA"/>
              </w:rPr>
            </w:pPr>
            <w:r>
              <w:rPr>
                <w:rFonts w:hint="eastAsia" w:ascii="宋体" w:hAnsi="宋体" w:cs="Arial"/>
                <w:color w:val="auto"/>
                <w:sz w:val="24"/>
              </w:rPr>
              <w:t>（2019年以来）</w:t>
            </w:r>
          </w:p>
        </w:tc>
        <w:tc>
          <w:tcPr>
            <w:tcW w:w="6819" w:type="dxa"/>
            <w:gridSpan w:val="5"/>
            <w:noWrap w:val="0"/>
            <w:vAlign w:val="center"/>
          </w:tcPr>
          <w:p>
            <w:pPr>
              <w:adjustRightInd w:val="0"/>
              <w:snapToGrid w:val="0"/>
              <w:spacing w:line="400" w:lineRule="exact"/>
              <w:jc w:val="center"/>
              <w:rPr>
                <w:rFonts w:ascii="宋体" w:hAnsi="宋体" w:eastAsia="宋体"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85" w:type="dxa"/>
            <w:noWrap w:val="0"/>
            <w:vAlign w:val="center"/>
          </w:tcPr>
          <w:p>
            <w:pPr>
              <w:spacing w:line="380" w:lineRule="exact"/>
              <w:jc w:val="center"/>
              <w:rPr>
                <w:rFonts w:hint="eastAsia" w:ascii="宋体" w:hAnsi="宋体" w:cs="Arial"/>
                <w:color w:val="auto"/>
                <w:sz w:val="24"/>
                <w:lang w:eastAsia="zh-CN"/>
              </w:rPr>
            </w:pPr>
            <w:r>
              <w:rPr>
                <w:rFonts w:hint="eastAsia" w:ascii="宋体" w:hAnsi="宋体" w:cs="Arial"/>
                <w:color w:val="auto"/>
                <w:sz w:val="24"/>
                <w:lang w:eastAsia="zh-CN"/>
              </w:rPr>
              <w:t>指导</w:t>
            </w:r>
            <w:r>
              <w:rPr>
                <w:rFonts w:hint="eastAsia" w:ascii="宋体" w:hAnsi="宋体" w:cs="Arial"/>
                <w:color w:val="auto"/>
                <w:sz w:val="24"/>
              </w:rPr>
              <w:t>教学能力比赛省赛/国赛</w:t>
            </w:r>
            <w:r>
              <w:rPr>
                <w:rFonts w:hint="eastAsia" w:ascii="宋体" w:hAnsi="宋体" w:cs="Arial"/>
                <w:color w:val="auto"/>
                <w:sz w:val="24"/>
                <w:lang w:eastAsia="zh-CN"/>
              </w:rPr>
              <w:t>获奖情况</w:t>
            </w:r>
          </w:p>
          <w:p>
            <w:pPr>
              <w:spacing w:line="380" w:lineRule="exact"/>
              <w:jc w:val="center"/>
            </w:pPr>
            <w:r>
              <w:rPr>
                <w:rFonts w:hint="eastAsia" w:ascii="宋体" w:hAnsi="宋体" w:cs="Arial"/>
                <w:color w:val="auto"/>
                <w:sz w:val="24"/>
              </w:rPr>
              <w:t>（2019年以来）</w:t>
            </w:r>
          </w:p>
        </w:tc>
        <w:tc>
          <w:tcPr>
            <w:tcW w:w="6819" w:type="dxa"/>
            <w:gridSpan w:val="5"/>
            <w:noWrap w:val="0"/>
            <w:vAlign w:val="center"/>
          </w:tcPr>
          <w:p>
            <w:pPr>
              <w:adjustRightInd w:val="0"/>
              <w:snapToGrid w:val="0"/>
              <w:spacing w:line="400" w:lineRule="exact"/>
              <w:jc w:val="center"/>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385" w:type="dxa"/>
            <w:noWrap w:val="0"/>
            <w:vAlign w:val="center"/>
          </w:tcPr>
          <w:p>
            <w:pPr>
              <w:spacing w:line="380" w:lineRule="exact"/>
              <w:jc w:val="center"/>
              <w:rPr>
                <w:rFonts w:ascii="宋体" w:hAnsi="宋体" w:cs="Arial"/>
                <w:color w:val="auto"/>
                <w:sz w:val="24"/>
              </w:rPr>
            </w:pPr>
            <w:r>
              <w:rPr>
                <w:rFonts w:hint="eastAsia" w:ascii="宋体" w:hAnsi="宋体" w:cs="Arial"/>
                <w:color w:val="auto"/>
                <w:sz w:val="24"/>
              </w:rPr>
              <w:t>参加全国教学能力比赛获奖情况</w:t>
            </w:r>
          </w:p>
          <w:p>
            <w:pPr>
              <w:spacing w:line="380" w:lineRule="exact"/>
              <w:jc w:val="center"/>
              <w:rPr>
                <w:rFonts w:ascii="Times New Roman" w:hAnsi="Times New Roman" w:eastAsia="宋体" w:cs="Times New Roman"/>
                <w:color w:val="auto"/>
                <w:kern w:val="2"/>
                <w:sz w:val="24"/>
                <w:szCs w:val="24"/>
                <w:lang w:val="en-US" w:eastAsia="zh-CN" w:bidi="ar-SA"/>
              </w:rPr>
            </w:pPr>
            <w:r>
              <w:rPr>
                <w:rFonts w:hint="eastAsia" w:ascii="宋体" w:hAnsi="宋体" w:cs="Arial"/>
                <w:color w:val="auto"/>
                <w:sz w:val="24"/>
              </w:rPr>
              <w:t>（2019年以来）</w:t>
            </w:r>
          </w:p>
        </w:tc>
        <w:tc>
          <w:tcPr>
            <w:tcW w:w="6819" w:type="dxa"/>
            <w:gridSpan w:val="5"/>
            <w:noWrap w:val="0"/>
            <w:vAlign w:val="center"/>
          </w:tcPr>
          <w:p>
            <w:pPr>
              <w:pStyle w:val="14"/>
              <w:adjustRightInd w:val="0"/>
              <w:snapToGrid w:val="0"/>
              <w:spacing w:line="400" w:lineRule="exact"/>
              <w:rPr>
                <w:rFonts w:ascii="宋体" w:hAnsi="宋体" w:eastAsia="宋体"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385" w:type="dxa"/>
            <w:noWrap w:val="0"/>
            <w:vAlign w:val="center"/>
          </w:tcPr>
          <w:p>
            <w:pPr>
              <w:spacing w:line="380" w:lineRule="exact"/>
              <w:jc w:val="center"/>
              <w:rPr>
                <w:rFonts w:hint="eastAsia" w:ascii="宋体" w:hAnsi="宋体" w:eastAsia="宋体" w:cs="Arial"/>
                <w:color w:val="auto"/>
                <w:sz w:val="24"/>
                <w:lang w:eastAsia="zh-CN"/>
              </w:rPr>
            </w:pPr>
            <w:r>
              <w:rPr>
                <w:rFonts w:hint="eastAsia" w:ascii="宋体" w:hAnsi="宋体" w:cs="Arial"/>
                <w:color w:val="auto"/>
                <w:sz w:val="24"/>
                <w:lang w:eastAsia="zh-CN"/>
              </w:rPr>
              <w:t>教学成果</w:t>
            </w:r>
          </w:p>
        </w:tc>
        <w:tc>
          <w:tcPr>
            <w:tcW w:w="6819" w:type="dxa"/>
            <w:gridSpan w:val="5"/>
            <w:noWrap w:val="0"/>
            <w:vAlign w:val="top"/>
          </w:tcPr>
          <w:p>
            <w:pPr>
              <w:pStyle w:val="14"/>
              <w:adjustRightInd w:val="0"/>
              <w:snapToGrid w:val="0"/>
              <w:spacing w:line="400" w:lineRule="exact"/>
              <w:jc w:val="both"/>
              <w:rPr>
                <w:rFonts w:hint="eastAsia" w:ascii="宋体" w:hAnsi="宋体" w:eastAsia="仿宋_GB2312"/>
                <w:color w:val="auto"/>
                <w:sz w:val="24"/>
                <w:lang w:eastAsia="zh-CN"/>
              </w:rPr>
            </w:pPr>
            <w:r>
              <w:rPr>
                <w:rFonts w:hint="eastAsia" w:ascii="宋体" w:hAnsi="宋体" w:eastAsia="宋体" w:cs="Times New Roman"/>
                <w:color w:val="auto"/>
                <w:kern w:val="2"/>
                <w:sz w:val="24"/>
                <w:szCs w:val="24"/>
                <w:lang w:val="en-US" w:eastAsia="zh-CN" w:bidi="ar-SA"/>
              </w:rPr>
              <w:t>（例：专业带头人、双师型教师、省级以上教学名师、国家级教学成果二等奖以上主持人、二级教授等）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204" w:type="dxa"/>
            <w:gridSpan w:val="6"/>
            <w:tcBorders>
              <w:bottom w:val="single" w:color="auto" w:sz="8" w:space="0"/>
            </w:tcBorders>
            <w:noWrap w:val="0"/>
            <w:vAlign w:val="top"/>
          </w:tcPr>
          <w:p>
            <w:pPr>
              <w:pStyle w:val="14"/>
              <w:widowControl w:val="0"/>
              <w:adjustRightInd w:val="0"/>
              <w:snapToGrid w:val="0"/>
              <w:spacing w:line="400" w:lineRule="exact"/>
              <w:jc w:val="both"/>
              <w:rPr>
                <w:rFonts w:ascii="宋体" w:hAnsi="宋体"/>
                <w:color w:val="auto"/>
                <w:sz w:val="24"/>
                <w:highlight w:val="none"/>
              </w:rPr>
            </w:pPr>
            <w:r>
              <w:rPr>
                <w:rFonts w:hint="eastAsia" w:ascii="宋体" w:hAnsi="宋体"/>
                <w:color w:val="auto"/>
                <w:sz w:val="24"/>
                <w:highlight w:val="none"/>
              </w:rPr>
              <w:t>推荐单位意见：</w:t>
            </w:r>
          </w:p>
          <w:p>
            <w:pPr>
              <w:pStyle w:val="14"/>
              <w:widowControl w:val="0"/>
              <w:adjustRightInd w:val="0"/>
              <w:snapToGrid w:val="0"/>
              <w:spacing w:line="400" w:lineRule="exact"/>
              <w:jc w:val="both"/>
              <w:rPr>
                <w:rFonts w:ascii="宋体" w:hAnsi="宋体"/>
                <w:color w:val="auto"/>
                <w:sz w:val="24"/>
              </w:rPr>
            </w:pPr>
          </w:p>
          <w:p>
            <w:pPr>
              <w:adjustRightInd w:val="0"/>
              <w:snapToGrid w:val="0"/>
              <w:spacing w:line="400" w:lineRule="exact"/>
              <w:jc w:val="right"/>
              <w:rPr>
                <w:rFonts w:ascii="宋体" w:hAnsi="宋体"/>
                <w:color w:val="auto"/>
                <w:sz w:val="24"/>
              </w:rPr>
            </w:pPr>
            <w:r>
              <w:rPr>
                <w:rFonts w:hint="eastAsia" w:ascii="宋体" w:hAnsi="宋体"/>
                <w:color w:val="auto"/>
                <w:sz w:val="24"/>
              </w:rPr>
              <w:t>名称（盖章）</w:t>
            </w:r>
          </w:p>
          <w:p>
            <w:pPr>
              <w:adjustRightInd w:val="0"/>
              <w:snapToGrid w:val="0"/>
              <w:spacing w:line="400" w:lineRule="exact"/>
              <w:jc w:val="right"/>
              <w:rPr>
                <w:rFonts w:ascii="宋体" w:hAnsi="宋体"/>
                <w:color w:val="auto"/>
                <w:sz w:val="24"/>
              </w:rPr>
            </w:pPr>
            <w:r>
              <w:rPr>
                <w:rFonts w:hint="eastAsia" w:ascii="宋体" w:hAnsi="宋体"/>
                <w:color w:val="auto"/>
                <w:sz w:val="24"/>
              </w:rPr>
              <w:t>年  月  日</w:t>
            </w:r>
          </w:p>
        </w:tc>
      </w:tr>
    </w:tbl>
    <w:p>
      <w:pPr>
        <w:widowControl/>
        <w:snapToGrid w:val="0"/>
        <w:spacing w:line="260" w:lineRule="exact"/>
        <w:contextualSpacing/>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22"/>
          <w:szCs w:val="22"/>
        </w:rPr>
        <w:t>注：1.“行政职务”请选填“校领导”“中层干部”“一线教师”“其他（请具体备注说明：***）”。</w:t>
      </w:r>
    </w:p>
    <w:p>
      <w:pPr>
        <w:widowControl/>
        <w:snapToGrid w:val="0"/>
        <w:spacing w:line="260" w:lineRule="exact"/>
        <w:ind w:firstLine="440" w:firstLineChars="200"/>
        <w:contextualSpacing/>
        <w:rPr>
          <w:rFonts w:hint="eastAsia" w:ascii="仿宋_GB2312" w:hAnsi="仿宋_GB2312" w:eastAsia="仿宋_GB2312" w:cs="仿宋_GB2312"/>
          <w:color w:val="auto"/>
          <w:kern w:val="0"/>
          <w:sz w:val="22"/>
          <w:szCs w:val="22"/>
        </w:rPr>
        <w:sectPr>
          <w:headerReference r:id="rId10" w:type="first"/>
          <w:footerReference r:id="rId12" w:type="first"/>
          <w:headerReference r:id="rId9" w:type="default"/>
          <w:footerReference r:id="rId11" w:type="default"/>
          <w:pgSz w:w="11906" w:h="16838"/>
          <w:pgMar w:top="1440" w:right="1644" w:bottom="1440" w:left="1701" w:header="851" w:footer="992" w:gutter="0"/>
          <w:pgNumType w:fmt="numberInDash"/>
          <w:cols w:space="720" w:num="1"/>
          <w:titlePg/>
          <w:docGrid w:type="lines" w:linePitch="329" w:charSpace="0"/>
        </w:sectPr>
      </w:pPr>
      <w:r>
        <w:rPr>
          <w:rFonts w:hint="eastAsia" w:ascii="仿宋_GB2312" w:hAnsi="仿宋_GB2312" w:eastAsia="仿宋_GB2312" w:cs="仿宋_GB2312"/>
          <w:color w:val="auto"/>
          <w:kern w:val="0"/>
          <w:sz w:val="22"/>
          <w:szCs w:val="22"/>
        </w:rPr>
        <w:t>2.“擅长专业领域”请填写规范的专业类/大类或公共基础课程名称，可根据实际情况填写2-3个，其中专业类别、名称、代码参照《教育部关于印发&lt;职业教育专业目录（2021年）&gt;的通知》(教职成〔2021〕2号)目录</w:t>
      </w:r>
    </w:p>
    <w:p>
      <w:pPr>
        <w:ind w:firstLine="320" w:firstLineChars="100"/>
        <w:rPr>
          <w:rStyle w:val="12"/>
          <w:rFonts w:hAnsi="黑体"/>
          <w:color w:val="auto"/>
          <w:sz w:val="32"/>
          <w:szCs w:val="32"/>
          <w:lang w:bidi="ar"/>
        </w:rPr>
      </w:pPr>
      <w:r>
        <w:rPr>
          <w:rStyle w:val="12"/>
          <w:rFonts w:hint="eastAsia" w:hAnsi="黑体"/>
          <w:color w:val="auto"/>
          <w:sz w:val="32"/>
          <w:szCs w:val="32"/>
          <w:lang w:bidi="ar"/>
        </w:rPr>
        <w:t>表2</w:t>
      </w:r>
    </w:p>
    <w:p>
      <w:pPr>
        <w:pStyle w:val="2"/>
        <w:spacing w:before="0" w:after="0" w:line="500" w:lineRule="exact"/>
        <w:jc w:val="center"/>
        <w:rPr>
          <w:rFonts w:hint="eastAsia" w:ascii="方正大标宋简体" w:hAnsi="方正大标宋简体" w:eastAsia="方正大标宋简体" w:cs="方正大标宋简体"/>
          <w:b w:val="0"/>
          <w:bCs w:val="0"/>
          <w:color w:val="auto"/>
          <w:kern w:val="0"/>
          <w:sz w:val="36"/>
          <w:szCs w:val="36"/>
          <w:lang w:bidi="ar"/>
        </w:rPr>
      </w:pPr>
      <w:r>
        <w:rPr>
          <w:rFonts w:hint="eastAsia" w:ascii="方正大标宋简体" w:hAnsi="方正大标宋简体" w:eastAsia="方正大标宋简体" w:cs="方正大标宋简体"/>
          <w:b w:val="0"/>
          <w:bCs w:val="0"/>
          <w:color w:val="auto"/>
          <w:kern w:val="0"/>
          <w:sz w:val="36"/>
          <w:szCs w:val="36"/>
          <w:lang w:bidi="ar"/>
        </w:rPr>
        <w:t>福建省职业院校技能大赛教学能力比赛</w:t>
      </w:r>
      <w:r>
        <w:rPr>
          <w:rFonts w:hint="eastAsia" w:ascii="方正大标宋简体" w:hAnsi="方正大标宋简体" w:eastAsia="方正大标宋简体" w:cs="方正大标宋简体"/>
          <w:b w:val="0"/>
          <w:bCs w:val="0"/>
          <w:color w:val="auto"/>
          <w:kern w:val="0"/>
          <w:sz w:val="36"/>
          <w:szCs w:val="36"/>
          <w:lang w:bidi="ar"/>
        </w:rPr>
        <w:br w:type="textWrapping"/>
      </w:r>
      <w:r>
        <w:rPr>
          <w:rFonts w:hint="eastAsia" w:ascii="方正大标宋简体" w:hAnsi="方正大标宋简体" w:eastAsia="方正大标宋简体" w:cs="方正大标宋简体"/>
          <w:b w:val="0"/>
          <w:bCs w:val="0"/>
          <w:color w:val="auto"/>
          <w:kern w:val="0"/>
          <w:sz w:val="36"/>
          <w:szCs w:val="36"/>
          <w:lang w:bidi="ar"/>
        </w:rPr>
        <w:t>专家推荐汇总表</w:t>
      </w:r>
    </w:p>
    <w:p>
      <w:r>
        <w:rPr>
          <w:rFonts w:hint="eastAsia" w:ascii="黑体" w:hAnsi="宋体" w:eastAsia="黑体" w:cs="黑体"/>
          <w:color w:val="auto"/>
          <w:kern w:val="0"/>
          <w:sz w:val="22"/>
          <w:szCs w:val="22"/>
          <w:lang w:bidi="ar"/>
        </w:rPr>
        <w:t>推荐单位</w:t>
      </w:r>
      <w:r>
        <w:rPr>
          <w:rStyle w:val="15"/>
          <w:color w:val="auto"/>
          <w:lang w:bidi="ar"/>
        </w:rPr>
        <w:t>（盖章）</w:t>
      </w:r>
      <w:r>
        <w:rPr>
          <w:rStyle w:val="16"/>
          <w:rFonts w:hint="default"/>
          <w:color w:val="auto"/>
          <w:lang w:bidi="ar"/>
        </w:rPr>
        <w:t>：</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82"/>
        <w:gridCol w:w="1087"/>
        <w:gridCol w:w="1060"/>
        <w:gridCol w:w="1047"/>
        <w:gridCol w:w="1177"/>
        <w:gridCol w:w="1681"/>
        <w:gridCol w:w="1397"/>
        <w:gridCol w:w="1651"/>
        <w:gridCol w:w="1407"/>
        <w:gridCol w:w="1345"/>
        <w:gridCol w:w="122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7"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姓名</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性别</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kern w:val="0"/>
                <w:sz w:val="22"/>
                <w:szCs w:val="22"/>
                <w:lang w:bidi="ar"/>
              </w:rPr>
            </w:pPr>
            <w:r>
              <w:rPr>
                <w:rFonts w:hint="eastAsia" w:ascii="黑体" w:hAnsi="宋体" w:eastAsia="黑体" w:cs="黑体"/>
                <w:color w:val="auto"/>
                <w:kern w:val="0"/>
                <w:sz w:val="22"/>
                <w:szCs w:val="22"/>
                <w:lang w:bidi="ar"/>
              </w:rPr>
              <w:t>职称/</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职务</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工作单位</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擅长专业领域</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2019年以来评审经历</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kern w:val="0"/>
                <w:sz w:val="22"/>
                <w:szCs w:val="22"/>
                <w:highlight w:val="none"/>
                <w:lang w:bidi="ar"/>
              </w:rPr>
            </w:pPr>
            <w:r>
              <w:rPr>
                <w:rFonts w:hint="eastAsia" w:ascii="黑体" w:hAnsi="宋体" w:eastAsia="黑体" w:cs="黑体"/>
                <w:color w:val="auto"/>
                <w:kern w:val="0"/>
                <w:sz w:val="22"/>
                <w:szCs w:val="22"/>
                <w:highlight w:val="none"/>
                <w:lang w:bidi="ar"/>
              </w:rPr>
              <w:t>2019年以来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highlight w:val="none"/>
                <w:lang w:eastAsia="zh-CN"/>
              </w:rPr>
            </w:pPr>
            <w:r>
              <w:rPr>
                <w:rFonts w:hint="eastAsia" w:ascii="黑体" w:hAnsi="宋体" w:eastAsia="黑体" w:cs="黑体"/>
                <w:color w:val="auto"/>
                <w:kern w:val="0"/>
                <w:sz w:val="22"/>
                <w:szCs w:val="22"/>
                <w:highlight w:val="none"/>
                <w:lang w:eastAsia="zh-CN" w:bidi="ar"/>
              </w:rPr>
              <w:t>带赛经历</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kern w:val="0"/>
                <w:sz w:val="22"/>
                <w:szCs w:val="22"/>
                <w:highlight w:val="none"/>
                <w:lang w:eastAsia="zh-CN" w:bidi="ar"/>
              </w:rPr>
            </w:pPr>
            <w:r>
              <w:rPr>
                <w:rFonts w:hint="eastAsia" w:ascii="黑体" w:hAnsi="宋体" w:eastAsia="黑体" w:cs="黑体"/>
                <w:color w:val="auto"/>
                <w:kern w:val="0"/>
                <w:sz w:val="22"/>
                <w:szCs w:val="22"/>
                <w:highlight w:val="none"/>
                <w:lang w:bidi="ar"/>
              </w:rPr>
              <w:t>2019年以来</w:t>
            </w:r>
            <w:r>
              <w:rPr>
                <w:rFonts w:hint="eastAsia" w:ascii="黑体" w:hAnsi="宋体" w:eastAsia="黑体" w:cs="黑体"/>
                <w:color w:val="auto"/>
                <w:kern w:val="0"/>
                <w:sz w:val="22"/>
                <w:szCs w:val="22"/>
                <w:highlight w:val="none"/>
                <w:lang w:eastAsia="zh-CN" w:bidi="ar"/>
              </w:rPr>
              <w:t>参赛经历</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kern w:val="0"/>
                <w:sz w:val="22"/>
                <w:szCs w:val="22"/>
                <w:highlight w:val="none"/>
                <w:lang w:bidi="ar"/>
              </w:rPr>
            </w:pPr>
            <w:r>
              <w:rPr>
                <w:rFonts w:hint="eastAsia" w:ascii="黑体" w:hAnsi="宋体" w:eastAsia="黑体" w:cs="黑体"/>
                <w:color w:val="auto"/>
                <w:kern w:val="0"/>
                <w:sz w:val="22"/>
                <w:szCs w:val="22"/>
                <w:highlight w:val="none"/>
                <w:lang w:bidi="ar"/>
              </w:rPr>
              <w:t>手机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号码</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kern w:val="0"/>
                <w:sz w:val="22"/>
                <w:szCs w:val="22"/>
                <w:highlight w:val="none"/>
                <w:lang w:bidi="ar"/>
              </w:rPr>
            </w:pPr>
            <w:r>
              <w:rPr>
                <w:rFonts w:hint="eastAsia" w:ascii="黑体" w:hAnsi="宋体" w:eastAsia="黑体" w:cs="黑体"/>
                <w:color w:val="auto"/>
                <w:kern w:val="0"/>
                <w:sz w:val="22"/>
                <w:szCs w:val="22"/>
                <w:highlight w:val="none"/>
                <w:lang w:bidi="ar"/>
              </w:rPr>
              <w:t>电子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邮箱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u w:val="singl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3</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u w:val="singl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u w:val="singl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2"/>
                <w:szCs w:val="22"/>
                <w:u w:val="singl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jc w:val="center"/>
        </w:trPr>
        <w:tc>
          <w:tcPr>
            <w:tcW w:w="582" w:type="dxa"/>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w:t>
            </w:r>
          </w:p>
        </w:tc>
        <w:tc>
          <w:tcPr>
            <w:tcW w:w="1087" w:type="dxa"/>
            <w:tcBorders>
              <w:top w:val="single" w:color="auto" w:sz="4" w:space="0"/>
              <w:left w:val="single" w:color="auto" w:sz="4" w:space="0"/>
              <w:right w:val="single" w:color="auto" w:sz="4" w:space="0"/>
            </w:tcBorders>
            <w:noWrap w:val="0"/>
            <w:vAlign w:val="center"/>
          </w:tcPr>
          <w:p>
            <w:pPr>
              <w:rPr>
                <w:rFonts w:ascii="宋体" w:hAnsi="宋体" w:cs="宋体"/>
                <w:color w:val="auto"/>
                <w:sz w:val="22"/>
                <w:szCs w:val="22"/>
              </w:rPr>
            </w:pPr>
          </w:p>
        </w:tc>
        <w:tc>
          <w:tcPr>
            <w:tcW w:w="1060" w:type="dxa"/>
            <w:tcBorders>
              <w:top w:val="single" w:color="auto" w:sz="4" w:space="0"/>
              <w:left w:val="single" w:color="auto" w:sz="4" w:space="0"/>
              <w:right w:val="single" w:color="auto" w:sz="4" w:space="0"/>
            </w:tcBorders>
            <w:noWrap w:val="0"/>
            <w:vAlign w:val="center"/>
          </w:tcPr>
          <w:p>
            <w:pPr>
              <w:rPr>
                <w:rFonts w:ascii="宋体" w:hAnsi="宋体" w:cs="宋体"/>
                <w:color w:val="auto"/>
                <w:sz w:val="22"/>
                <w:szCs w:val="22"/>
              </w:rPr>
            </w:pPr>
          </w:p>
        </w:tc>
        <w:tc>
          <w:tcPr>
            <w:tcW w:w="1047" w:type="dxa"/>
            <w:tcBorders>
              <w:top w:val="single" w:color="auto" w:sz="4" w:space="0"/>
              <w:left w:val="single" w:color="auto" w:sz="4" w:space="0"/>
              <w:right w:val="single" w:color="auto" w:sz="4" w:space="0"/>
            </w:tcBorders>
            <w:noWrap w:val="0"/>
            <w:vAlign w:val="center"/>
          </w:tcPr>
          <w:p>
            <w:pPr>
              <w:rPr>
                <w:rFonts w:ascii="宋体" w:hAnsi="宋体" w:cs="宋体"/>
                <w:color w:val="auto"/>
                <w:sz w:val="22"/>
                <w:szCs w:val="22"/>
              </w:rPr>
            </w:pPr>
          </w:p>
        </w:tc>
        <w:tc>
          <w:tcPr>
            <w:tcW w:w="1177" w:type="dxa"/>
            <w:tcBorders>
              <w:top w:val="single" w:color="auto" w:sz="4" w:space="0"/>
              <w:left w:val="single" w:color="auto" w:sz="4" w:space="0"/>
              <w:right w:val="single" w:color="auto" w:sz="4" w:space="0"/>
            </w:tcBorders>
            <w:noWrap w:val="0"/>
            <w:vAlign w:val="center"/>
          </w:tcPr>
          <w:p>
            <w:pPr>
              <w:rPr>
                <w:rFonts w:ascii="宋体" w:hAnsi="宋体" w:cs="宋体"/>
                <w:color w:val="auto"/>
                <w:sz w:val="16"/>
                <w:szCs w:val="16"/>
              </w:rPr>
            </w:pPr>
          </w:p>
        </w:tc>
        <w:tc>
          <w:tcPr>
            <w:tcW w:w="1681" w:type="dxa"/>
            <w:tcBorders>
              <w:top w:val="single" w:color="auto" w:sz="4" w:space="0"/>
              <w:left w:val="single" w:color="auto" w:sz="4" w:space="0"/>
              <w:right w:val="single" w:color="auto" w:sz="4" w:space="0"/>
            </w:tcBorders>
            <w:noWrap w:val="0"/>
            <w:vAlign w:val="center"/>
          </w:tcPr>
          <w:p>
            <w:pPr>
              <w:rPr>
                <w:rFonts w:ascii="黑体" w:hAnsi="宋体" w:eastAsia="黑体" w:cs="黑体"/>
                <w:color w:val="auto"/>
                <w:sz w:val="22"/>
                <w:szCs w:val="22"/>
              </w:rPr>
            </w:pPr>
          </w:p>
        </w:tc>
        <w:tc>
          <w:tcPr>
            <w:tcW w:w="1397" w:type="dxa"/>
            <w:tcBorders>
              <w:top w:val="single" w:color="auto" w:sz="4" w:space="0"/>
              <w:left w:val="single" w:color="auto" w:sz="4" w:space="0"/>
              <w:right w:val="single" w:color="auto" w:sz="4" w:space="0"/>
            </w:tcBorders>
            <w:noWrap w:val="0"/>
            <w:vAlign w:val="center"/>
          </w:tcPr>
          <w:p>
            <w:pPr>
              <w:rPr>
                <w:rFonts w:ascii="黑体" w:hAnsi="宋体" w:eastAsia="黑体" w:cs="黑体"/>
                <w:color w:val="auto"/>
                <w:sz w:val="22"/>
                <w:szCs w:val="22"/>
              </w:rPr>
            </w:pPr>
          </w:p>
        </w:tc>
        <w:tc>
          <w:tcPr>
            <w:tcW w:w="1651" w:type="dxa"/>
            <w:tcBorders>
              <w:top w:val="single" w:color="auto" w:sz="4" w:space="0"/>
              <w:left w:val="single" w:color="auto" w:sz="4" w:space="0"/>
              <w:right w:val="single" w:color="auto" w:sz="4" w:space="0"/>
            </w:tcBorders>
            <w:noWrap w:val="0"/>
            <w:vAlign w:val="center"/>
          </w:tcPr>
          <w:p>
            <w:pPr>
              <w:rPr>
                <w:rFonts w:ascii="黑体" w:hAnsi="宋体" w:eastAsia="黑体" w:cs="黑体"/>
                <w:color w:val="auto"/>
                <w:sz w:val="22"/>
                <w:szCs w:val="22"/>
              </w:rPr>
            </w:pPr>
          </w:p>
        </w:tc>
        <w:tc>
          <w:tcPr>
            <w:tcW w:w="1407" w:type="dxa"/>
            <w:tcBorders>
              <w:top w:val="single" w:color="auto" w:sz="4" w:space="0"/>
              <w:left w:val="single" w:color="auto" w:sz="4" w:space="0"/>
              <w:right w:val="single" w:color="auto" w:sz="4" w:space="0"/>
            </w:tcBorders>
            <w:noWrap w:val="0"/>
            <w:vAlign w:val="center"/>
          </w:tcPr>
          <w:p>
            <w:pPr>
              <w:rPr>
                <w:rFonts w:ascii="黑体" w:hAnsi="宋体" w:eastAsia="黑体" w:cs="黑体"/>
                <w:color w:val="auto"/>
                <w:sz w:val="22"/>
                <w:szCs w:val="22"/>
              </w:rPr>
            </w:pPr>
          </w:p>
        </w:tc>
        <w:tc>
          <w:tcPr>
            <w:tcW w:w="1345" w:type="dxa"/>
            <w:tcBorders>
              <w:top w:val="single" w:color="auto" w:sz="4" w:space="0"/>
              <w:left w:val="single" w:color="auto" w:sz="4" w:space="0"/>
              <w:right w:val="single" w:color="auto" w:sz="4" w:space="0"/>
            </w:tcBorders>
            <w:noWrap w:val="0"/>
            <w:vAlign w:val="center"/>
          </w:tcPr>
          <w:p>
            <w:pPr>
              <w:rPr>
                <w:rFonts w:ascii="黑体" w:hAnsi="宋体" w:eastAsia="黑体" w:cs="黑体"/>
                <w:color w:val="auto"/>
                <w:sz w:val="22"/>
                <w:szCs w:val="22"/>
              </w:rPr>
            </w:pPr>
          </w:p>
        </w:tc>
        <w:tc>
          <w:tcPr>
            <w:tcW w:w="1222" w:type="dxa"/>
            <w:tcBorders>
              <w:top w:val="single" w:color="auto" w:sz="4" w:space="0"/>
              <w:left w:val="single" w:color="auto" w:sz="4" w:space="0"/>
              <w:right w:val="single" w:color="auto" w:sz="4" w:space="0"/>
            </w:tcBorders>
            <w:noWrap w:val="0"/>
            <w:vAlign w:val="center"/>
          </w:tcPr>
          <w:p>
            <w:pPr>
              <w:rPr>
                <w:rFonts w:ascii="宋体" w:hAnsi="宋体" w:cs="宋体"/>
                <w:color w:val="auto"/>
                <w:sz w:val="24"/>
              </w:rPr>
            </w:pPr>
          </w:p>
        </w:tc>
      </w:tr>
    </w:tbl>
    <w:p>
      <w:pPr>
        <w:spacing w:line="400" w:lineRule="exact"/>
        <w:rPr>
          <w:rFonts w:eastAsia="仿宋_GB2312"/>
          <w:color w:val="auto"/>
          <w:kern w:val="0"/>
          <w:sz w:val="24"/>
        </w:rPr>
      </w:pPr>
    </w:p>
    <w:p>
      <w:pPr>
        <w:pStyle w:val="2"/>
        <w:rPr>
          <w:rFonts w:hint="eastAsia"/>
        </w:rPr>
        <w:sectPr>
          <w:pgSz w:w="16838" w:h="11906" w:orient="landscape"/>
          <w:pgMar w:top="1701" w:right="1440" w:bottom="1644" w:left="1440" w:header="851" w:footer="992" w:gutter="0"/>
          <w:pgNumType w:fmt="numberInDash"/>
          <w:cols w:space="720" w:num="1"/>
          <w:titlePg/>
          <w:docGrid w:type="lines" w:linePitch="329" w:charSpace="0"/>
        </w:sect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tbl>
      <w:tblPr>
        <w:tblStyle w:val="7"/>
        <w:tblpPr w:leftFromText="181" w:rightFromText="181" w:vertAnchor="page" w:horzAnchor="page" w:tblpXSpec="center" w:tblpY="1389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88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00" w:afterAutospacing="1" w:line="240" w:lineRule="auto"/>
              <w:ind w:left="316" w:leftChars="100" w:right="316" w:rightChars="100"/>
              <w:jc w:val="both"/>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抄送：省电教馆</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rFonts w:hint="eastAsia" w:ascii="仿宋_GB2312" w:hAnsi="仿宋_GB2312" w:eastAsia="仿宋_GB2312" w:cs="仿宋_GB2312"/>
                <w:color w:val="auto"/>
                <w:sz w:val="28"/>
                <w:szCs w:val="28"/>
              </w:rPr>
            </w:pPr>
            <w:bookmarkStart w:id="17" w:name="REPE_printdate"/>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bookmarkEnd w:id="17"/>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sectPr>
      <w:headerReference r:id="rId14" w:type="first"/>
      <w:footerReference r:id="rId17" w:type="first"/>
      <w:headerReference r:id="rId13" w:type="default"/>
      <w:footerReference r:id="rId15" w:type="default"/>
      <w:footerReference r:id="rId16"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28"/>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11520" w:leftChars="3600" w:firstLine="700" w:firstLineChars="25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- 23 -</w:t>
                          </w:r>
                          <w:r>
                            <w:rPr>
                              <w:rFonts w:ascii="宋体" w:hAnsi="宋体"/>
                              <w:sz w:val="28"/>
                              <w:szCs w:val="28"/>
                            </w:rPr>
                            <w:fldChar w:fldCharType="end"/>
                          </w:r>
                        </w:p>
                        <w:p>
                          <w:pPr>
                            <w:pStyle w:val="3"/>
                            <w:ind w:right="360" w:firstLine="7700" w:firstLineChars="2750"/>
                            <w:rPr>
                              <w:rStyle w:val="9"/>
                              <w:rFonts w:ascii="宋体" w:hAnsi="宋体"/>
                              <w:sz w:val="28"/>
                              <w:szCs w:val="28"/>
                            </w:rPr>
                          </w:pPr>
                        </w:p>
                        <w:p>
                          <w:pPr>
                            <w:pStyle w:val="3"/>
                            <w:ind w:right="360" w:firstLine="360"/>
                            <w:rPr>
                              <w:rStyle w:val="9"/>
                              <w:rFonts w:ascii="宋体" w:hAnsi="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ind w:left="11520" w:leftChars="3600" w:firstLine="700" w:firstLineChars="25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- 23 -</w:t>
                    </w:r>
                    <w:r>
                      <w:rPr>
                        <w:rFonts w:ascii="宋体" w:hAnsi="宋体"/>
                        <w:sz w:val="28"/>
                        <w:szCs w:val="28"/>
                      </w:rPr>
                      <w:fldChar w:fldCharType="end"/>
                    </w:r>
                  </w:p>
                  <w:p>
                    <w:pPr>
                      <w:pStyle w:val="3"/>
                      <w:ind w:right="360" w:firstLine="7700" w:firstLineChars="2750"/>
                      <w:rPr>
                        <w:rStyle w:val="9"/>
                        <w:rFonts w:ascii="宋体" w:hAnsi="宋体"/>
                        <w:sz w:val="28"/>
                        <w:szCs w:val="28"/>
                      </w:rPr>
                    </w:pPr>
                  </w:p>
                  <w:p>
                    <w:pPr>
                      <w:pStyle w:val="3"/>
                      <w:ind w:right="360" w:firstLine="360"/>
                      <w:rPr>
                        <w:rStyle w:val="9"/>
                        <w:rFonts w:ascii="宋体" w:hAnsi="宋体"/>
                        <w:sz w:val="28"/>
                        <w:szCs w:val="28"/>
                      </w:rPr>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- 29 -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- 29 -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11946" w:leftChars="3733" w:firstLine="420" w:firstLineChars="150"/>
                            <w:rPr>
                              <w:rStyle w:val="9"/>
                              <w:rFonts w:ascii="宋体" w:hAnsi="宋体"/>
                              <w:sz w:val="28"/>
                              <w:szCs w:val="28"/>
                            </w:rPr>
                          </w:pPr>
                          <w:r>
                            <w:rPr>
                              <w:rStyle w:val="9"/>
                              <w:rFonts w:hint="eastAsia" w:ascii="宋体" w:hAnsi="宋体"/>
                              <w:sz w:val="28"/>
                              <w:szCs w:val="28"/>
                            </w:rPr>
                            <w:t xml:space="preserve"> </w:t>
                          </w:r>
                          <w:r>
                            <w:rPr>
                              <w:rStyle w:val="9"/>
                              <w:rFonts w:hint="eastAsia" w:ascii="宋体" w:hAnsi="宋体"/>
                              <w:sz w:val="28"/>
                              <w:szCs w:val="28"/>
                              <w:lang w:val="en-US" w:eastAsia="zh-CN"/>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- 24 -</w:t>
                          </w:r>
                          <w:r>
                            <w:rPr>
                              <w:rFonts w:ascii="宋体" w:hAnsi="宋体"/>
                              <w:sz w:val="28"/>
                              <w:szCs w:val="28"/>
                            </w:rPr>
                            <w:fldChar w:fldCharType="end"/>
                          </w:r>
                        </w:p>
                        <w:p>
                          <w:pPr>
                            <w:pStyle w:val="3"/>
                            <w:ind w:right="360" w:firstLine="7700" w:firstLineChars="2750"/>
                            <w:rPr>
                              <w:rStyle w:val="9"/>
                              <w:rFonts w:ascii="宋体" w:hAnsi="宋体"/>
                              <w:sz w:val="28"/>
                              <w:szCs w:val="28"/>
                            </w:rPr>
                          </w:pPr>
                        </w:p>
                        <w:p>
                          <w:pPr>
                            <w:pStyle w:val="3"/>
                            <w:ind w:right="360" w:firstLine="360"/>
                            <w:rPr>
                              <w:rStyle w:val="9"/>
                              <w:rFonts w:ascii="宋体" w:hAnsi="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ind w:left="11946" w:leftChars="3733" w:firstLine="420" w:firstLineChars="150"/>
                      <w:rPr>
                        <w:rStyle w:val="9"/>
                        <w:rFonts w:ascii="宋体" w:hAnsi="宋体"/>
                        <w:sz w:val="28"/>
                        <w:szCs w:val="28"/>
                      </w:rPr>
                    </w:pPr>
                    <w:r>
                      <w:rPr>
                        <w:rStyle w:val="9"/>
                        <w:rFonts w:hint="eastAsia" w:ascii="宋体" w:hAnsi="宋体"/>
                        <w:sz w:val="28"/>
                        <w:szCs w:val="28"/>
                      </w:rPr>
                      <w:t xml:space="preserve"> </w:t>
                    </w:r>
                    <w:r>
                      <w:rPr>
                        <w:rStyle w:val="9"/>
                        <w:rFonts w:hint="eastAsia" w:ascii="宋体" w:hAnsi="宋体"/>
                        <w:sz w:val="28"/>
                        <w:szCs w:val="28"/>
                        <w:lang w:val="en-US" w:eastAsia="zh-CN"/>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- 24 -</w:t>
                    </w:r>
                    <w:r>
                      <w:rPr>
                        <w:rFonts w:ascii="宋体" w:hAnsi="宋体"/>
                        <w:sz w:val="28"/>
                        <w:szCs w:val="28"/>
                      </w:rPr>
                      <w:fldChar w:fldCharType="end"/>
                    </w:r>
                  </w:p>
                  <w:p>
                    <w:pPr>
                      <w:pStyle w:val="3"/>
                      <w:ind w:right="360" w:firstLine="7700" w:firstLineChars="2750"/>
                      <w:rPr>
                        <w:rStyle w:val="9"/>
                        <w:rFonts w:ascii="宋体" w:hAnsi="宋体"/>
                        <w:sz w:val="28"/>
                        <w:szCs w:val="28"/>
                      </w:rPr>
                    </w:pPr>
                  </w:p>
                  <w:p>
                    <w:pPr>
                      <w:pStyle w:val="3"/>
                      <w:ind w:right="360" w:firstLine="360"/>
                      <w:rPr>
                        <w:rStyle w:val="9"/>
                        <w:rFonts w:ascii="宋体" w:hAnsi="宋体"/>
                        <w:sz w:val="28"/>
                        <w:szCs w:val="28"/>
                      </w:rPr>
                    </w:pP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4</w:t>
    </w:r>
    <w:r>
      <w:fldChar w:fldCharType="end"/>
    </w:r>
  </w:p>
  <w:p>
    <w:pPr>
      <w:pStyle w:val="3"/>
      <w:ind w:right="360" w:firstLine="360"/>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rPr>
          <w:rStyle w:val="10"/>
        </w:rPr>
      </w:pPr>
      <w:r>
        <w:rPr>
          <w:rStyle w:val="10"/>
          <w:color w:val="auto"/>
        </w:rPr>
        <w:footnoteRef/>
      </w:r>
      <w:r>
        <w:rPr>
          <w:color w:val="auto"/>
        </w:rPr>
        <w:t xml:space="preserve"> </w:t>
      </w:r>
      <w:r>
        <w:rPr>
          <w:rFonts w:hint="eastAsia"/>
          <w:color w:val="auto"/>
        </w:rPr>
        <w:t>本课程其中一个</w:t>
      </w:r>
      <w:r>
        <w:rPr>
          <w:rFonts w:hint="eastAsia"/>
        </w:rPr>
        <w:t>班级的实际授课班级人数，原则上即参与拍摄的班级人数。</w:t>
      </w:r>
    </w:p>
  </w:footnote>
  <w:footnote w:id="1">
    <w:p>
      <w:pPr>
        <w:pStyle w:val="5"/>
        <w:rPr>
          <w:rStyle w:val="10"/>
        </w:rPr>
      </w:pPr>
      <w:r>
        <w:rPr>
          <w:rStyle w:val="10"/>
          <w:rFonts w:hint="eastAsia"/>
        </w:rPr>
        <w:t>2</w:t>
      </w:r>
      <w:r>
        <w:rPr>
          <w:rFonts w:hint="eastAsia"/>
        </w:rPr>
        <w:t>教学团队全部成员逐一添加填写</w:t>
      </w:r>
    </w:p>
  </w:footnote>
  <w:footnote w:id="2">
    <w:p>
      <w:pPr>
        <w:pStyle w:val="5"/>
        <w:rPr>
          <w:rStyle w:val="10"/>
        </w:rPr>
      </w:pPr>
      <w:r>
        <w:rPr>
          <w:rFonts w:hint="eastAsia"/>
        </w:rPr>
        <w:t>3教学团队全部成员逐一添加填写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0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kern w:val="0"/>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12">
    <w:name w:val="font11"/>
    <w:qFormat/>
    <w:uiPriority w:val="0"/>
    <w:rPr>
      <w:rFonts w:ascii="黑体" w:hAnsi="宋体" w:eastAsia="黑体" w:cs="黑体"/>
      <w:color w:val="000000"/>
      <w:sz w:val="29"/>
      <w:szCs w:val="29"/>
      <w:u w:val="none"/>
    </w:rPr>
  </w:style>
  <w:style w:type="character" w:customStyle="1" w:styleId="13">
    <w:name w:val="font71"/>
    <w:qFormat/>
    <w:uiPriority w:val="0"/>
    <w:rPr>
      <w:rFonts w:hint="default" w:ascii="Times New Roman" w:hAnsi="Times New Roman" w:cs="Times New Roman"/>
      <w:color w:val="000000"/>
      <w:sz w:val="29"/>
      <w:szCs w:val="29"/>
      <w:u w:val="none"/>
    </w:rPr>
  </w:style>
  <w:style w:type="paragraph" w:customStyle="1" w:styleId="14">
    <w:name w:val="文本框"/>
    <w:qFormat/>
    <w:uiPriority w:val="0"/>
    <w:rPr>
      <w:rFonts w:ascii="Times New Roman" w:hAnsi="Times New Roman" w:eastAsia="宋体" w:cs="Times New Roman"/>
      <w:kern w:val="2"/>
      <w:sz w:val="21"/>
      <w:szCs w:val="24"/>
      <w:lang w:val="en-US" w:eastAsia="zh-CN" w:bidi="ar-SA"/>
    </w:rPr>
  </w:style>
  <w:style w:type="character" w:customStyle="1" w:styleId="15">
    <w:name w:val="font21"/>
    <w:basedOn w:val="8"/>
    <w:qFormat/>
    <w:uiPriority w:val="0"/>
    <w:rPr>
      <w:rFonts w:ascii="方正仿宋简体" w:hAnsi="方正仿宋简体" w:eastAsia="方正仿宋简体" w:cs="方正仿宋简体"/>
      <w:color w:val="000000"/>
      <w:sz w:val="22"/>
      <w:szCs w:val="22"/>
      <w:u w:val="none"/>
    </w:rPr>
  </w:style>
  <w:style w:type="character" w:customStyle="1" w:styleId="16">
    <w:name w:val="font41"/>
    <w:basedOn w:val="8"/>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2022-03-22T08:12:53Z</dcterms:created>
  <dc:creator>magicbook</dc:creator>
  <cp:lastModifiedBy>magicbook</cp:lastModifiedBy>
  <dcterms:modified xsi:type="dcterms:W3CDTF">2022-03-22T08:13:00Z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A924F05BA8BE46AA9D58572FC1FC434F</vt:lpwstr>
  </property>
</Properties>
</file>