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/>
        <w:jc w:val="center"/>
        <w:rPr>
          <w:rFonts w:ascii="仿宋_GB2312" w:eastAsia="仿宋_GB2312"/>
          <w:spacing w:val="-6"/>
          <w:sz w:val="28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质</w:t>
      </w:r>
      <w:r>
        <w:rPr>
          <w:rFonts w:hint="eastAsia" w:ascii="仿宋" w:hAnsi="仿宋" w:eastAsia="仿宋"/>
          <w:kern w:val="2"/>
          <w:sz w:val="32"/>
          <w:szCs w:val="32"/>
        </w:rPr>
        <w:t>〔</w:t>
      </w:r>
      <w:r>
        <w:rPr>
          <w:rFonts w:hint="default" w:ascii="仿宋" w:hAnsi="仿宋" w:eastAsia="仿宋"/>
          <w:kern w:val="2"/>
          <w:sz w:val="32"/>
          <w:szCs w:val="32"/>
        </w:rPr>
        <w:t>202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2"/>
          <w:sz w:val="32"/>
          <w:szCs w:val="32"/>
        </w:rPr>
        <w:t>号</w:t>
      </w:r>
    </w:p>
    <w:p>
      <w:pPr>
        <w:ind w:left="-420" w:leftChars="-200" w:firstLine="0" w:firstLineChars="0"/>
        <w:rPr>
          <w:spacing w:val="-6"/>
          <w:sz w:val="28"/>
          <w:szCs w:val="28"/>
        </w:rPr>
      </w:pPr>
    </w:p>
    <w:p>
      <w:pPr>
        <w:pStyle w:val="2"/>
      </w:pPr>
    </w:p>
    <w:p>
      <w:pPr>
        <w:ind w:left="-210" w:leftChars="-100" w:right="-210" w:rightChars="-1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学期</w:t>
      </w:r>
    </w:p>
    <w:p>
      <w:pPr>
        <w:ind w:left="-210" w:leftChars="-100" w:right="-210" w:rightChars="-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期中教学检查工作的通知</w:t>
      </w:r>
    </w:p>
    <w:p>
      <w:pP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为全面了解本学期开学以来教学运行情况，加强日常教学管理与监督，根据学院学期教学工作计划，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决定于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4月23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日开展期中教学检查工作。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期中教学检查工作由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、教学质量监控与评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、教务科研处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及相关职能部门共同组织实施。请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组织做好期中教学检查工作，重点检查课程教学进度（含实训实习）情况，请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日前，提交《福州软件职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技术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学院中期教学进度检查表》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，电子版同时发送到邮箱1839427492@qq.com。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/>
        <w:jc w:val="both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附件：福州软件职业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学院期中教学进度检查表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3"/>
        <w:jc w:val="right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福州软件职业技术学院教学质量监控与评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价</w:t>
      </w:r>
      <w:r>
        <w:rPr>
          <w:rFonts w:ascii="仿宋" w:hAnsi="仿宋" w:eastAsia="仿宋" w:cs="宋体"/>
          <w:kern w:val="0"/>
          <w:sz w:val="32"/>
          <w:szCs w:val="32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rightChars="-159" w:firstLine="640" w:firstLineChars="200"/>
        <w:jc w:val="center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20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福州软件职业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技术</w:t>
      </w:r>
      <w:r>
        <w:rPr>
          <w:rFonts w:hint="eastAsia" w:asciiTheme="minorEastAsia" w:hAnsiTheme="minorEastAsia"/>
          <w:sz w:val="32"/>
          <w:szCs w:val="32"/>
        </w:rPr>
        <w:t>学院期中教学进度检查表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（20  —20  学年第  学期）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  <w:lang w:eastAsia="zh-CN"/>
        </w:rPr>
        <w:t>教学单位</w:t>
      </w:r>
      <w:r>
        <w:rPr>
          <w:rFonts w:hint="eastAsia" w:asciiTheme="minorEastAsia" w:hAnsiTheme="minorEastAsia"/>
          <w:szCs w:val="21"/>
        </w:rPr>
        <w:t xml:space="preserve">：   </w:t>
      </w: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                                检查时间：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任课教师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任课课程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任课班级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进度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执行</w:t>
            </w:r>
          </w:p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情况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比计划快的学时数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比计划慢的学时数</w:t>
            </w:r>
          </w:p>
        </w:tc>
        <w:tc>
          <w:tcPr>
            <w:tcW w:w="1136" w:type="dxa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按计划第   周应讲授到的章节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下一阶段课程进度调整的设想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asciiTheme="minorEastAsia" w:hAnsiTheme="minorEastAsia"/>
          <w:lang w:eastAsia="zh-CN"/>
        </w:rPr>
        <w:t>教学单位</w:t>
      </w:r>
      <w:r>
        <w:rPr>
          <w:rFonts w:hint="eastAsia" w:asciiTheme="minorEastAsia" w:hAnsiTheme="minorEastAsia"/>
        </w:rPr>
        <w:t>主任：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</w:t>
      </w:r>
      <w:r>
        <w:rPr>
          <w:rFonts w:hint="eastAsia" w:asciiTheme="minorEastAsia" w:hAnsiTheme="minorEastAsia"/>
        </w:rPr>
        <w:t xml:space="preserve">   年    月    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A09"/>
    <w:rsid w:val="04EB0B9F"/>
    <w:rsid w:val="0516428D"/>
    <w:rsid w:val="05261F6F"/>
    <w:rsid w:val="092B2D98"/>
    <w:rsid w:val="0AC6611C"/>
    <w:rsid w:val="0DAB21B9"/>
    <w:rsid w:val="22E414CA"/>
    <w:rsid w:val="241D09E3"/>
    <w:rsid w:val="2B910373"/>
    <w:rsid w:val="2B9D1013"/>
    <w:rsid w:val="35B76B41"/>
    <w:rsid w:val="36D47CFC"/>
    <w:rsid w:val="3B1E3877"/>
    <w:rsid w:val="3E0D3D67"/>
    <w:rsid w:val="3FF7FC77"/>
    <w:rsid w:val="4142695C"/>
    <w:rsid w:val="42AC33E2"/>
    <w:rsid w:val="470B4C66"/>
    <w:rsid w:val="48BF650D"/>
    <w:rsid w:val="497653AC"/>
    <w:rsid w:val="4BBC1785"/>
    <w:rsid w:val="565B4631"/>
    <w:rsid w:val="5A6F2E2C"/>
    <w:rsid w:val="60453413"/>
    <w:rsid w:val="630131BC"/>
    <w:rsid w:val="6BEA492C"/>
    <w:rsid w:val="6BFA7490"/>
    <w:rsid w:val="6C25508B"/>
    <w:rsid w:val="6D9B408E"/>
    <w:rsid w:val="6E06E491"/>
    <w:rsid w:val="764A1DC1"/>
    <w:rsid w:val="7DBF23CC"/>
    <w:rsid w:val="7DF787EA"/>
    <w:rsid w:val="7E7027AE"/>
    <w:rsid w:val="7EFEF3CD"/>
    <w:rsid w:val="7FEFD2A8"/>
    <w:rsid w:val="AFF1B336"/>
    <w:rsid w:val="BB6F6792"/>
    <w:rsid w:val="DDFEAF25"/>
    <w:rsid w:val="EBF60F00"/>
    <w:rsid w:val="FBF6B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29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9ANNA</cp:lastModifiedBy>
  <cp:lastPrinted>2021-04-12T06:38:00Z</cp:lastPrinted>
  <dcterms:modified xsi:type="dcterms:W3CDTF">2021-04-19T01:36:36Z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C4F7C0C4E2394BAAADB22A01F3E6DD77</vt:lpwstr>
  </property>
</Properties>
</file>