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福州软件职业技术学院201</w:t>
      </w:r>
      <w:r>
        <w:rPr>
          <w:rFonts w:ascii="宋体" w:hAnsi="宋体"/>
          <w:b/>
          <w:bCs/>
          <w:sz w:val="28"/>
          <w:szCs w:val="28"/>
        </w:rPr>
        <w:t>9</w:t>
      </w:r>
      <w:r>
        <w:rPr>
          <w:rFonts w:hint="eastAsia" w:ascii="宋体" w:hAnsi="宋体"/>
          <w:b/>
          <w:bCs/>
          <w:sz w:val="28"/>
          <w:szCs w:val="28"/>
        </w:rPr>
        <w:t>级</w:t>
      </w:r>
      <w:r>
        <w:rPr>
          <w:rFonts w:ascii="宋体" w:hAnsi="宋体"/>
          <w:b/>
          <w:bCs/>
          <w:sz w:val="28"/>
          <w:szCs w:val="28"/>
        </w:rPr>
        <w:t>2</w:t>
      </w:r>
      <w:r>
        <w:rPr>
          <w:rFonts w:hint="eastAsia" w:ascii="宋体" w:hAnsi="宋体"/>
          <w:b/>
          <w:bCs/>
          <w:sz w:val="28"/>
          <w:szCs w:val="28"/>
        </w:rPr>
        <w:t>1-</w:t>
      </w:r>
      <w:r>
        <w:rPr>
          <w:rFonts w:ascii="宋体" w:hAnsi="宋体"/>
          <w:b/>
          <w:bCs/>
          <w:sz w:val="28"/>
          <w:szCs w:val="28"/>
        </w:rPr>
        <w:t>2</w:t>
      </w:r>
      <w:r>
        <w:rPr>
          <w:rFonts w:hint="eastAsia" w:ascii="宋体" w:hAnsi="宋体"/>
          <w:b/>
          <w:bCs/>
          <w:sz w:val="28"/>
          <w:szCs w:val="28"/>
        </w:rPr>
        <w:t>2学年收费标准</w:t>
      </w:r>
      <w:r>
        <w:rPr>
          <w:rFonts w:hint="eastAsia" w:ascii="宋体" w:hAnsi="宋体"/>
          <w:b/>
          <w:bCs/>
          <w:sz w:val="15"/>
          <w:szCs w:val="15"/>
        </w:rPr>
        <w:t>（单位:元/学年）</w:t>
      </w:r>
    </w:p>
    <w:tbl>
      <w:tblPr>
        <w:tblStyle w:val="2"/>
        <w:tblW w:w="9440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0"/>
        <w:gridCol w:w="4000"/>
        <w:gridCol w:w="1380"/>
        <w:gridCol w:w="1380"/>
        <w:gridCol w:w="13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0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20"/>
                <w:szCs w:val="20"/>
              </w:rPr>
              <w:t>系部</w:t>
            </w:r>
          </w:p>
        </w:tc>
        <w:tc>
          <w:tcPr>
            <w:tcW w:w="4000" w:type="dxa"/>
            <w:vMerge w:val="restart"/>
            <w:tcBorders>
              <w:top w:val="single" w:color="auto" w:sz="4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20"/>
                <w:szCs w:val="20"/>
              </w:rPr>
              <w:t>专业名称</w:t>
            </w:r>
          </w:p>
        </w:tc>
        <w:tc>
          <w:tcPr>
            <w:tcW w:w="41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学费及代办费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00" w:type="dxa"/>
            <w:vMerge w:val="continue"/>
            <w:tcBorders>
              <w:top w:val="single" w:color="auto" w:sz="8" w:space="0"/>
              <w:left w:val="single" w:color="auto" w:sz="4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00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培养费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教材费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合计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00" w:type="dxa"/>
            <w:vMerge w:val="restart"/>
            <w:tcBorders>
              <w:top w:val="nil"/>
              <w:left w:val="single" w:color="auto" w:sz="4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游戏产业学院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虚拟与现实应用技术</w:t>
            </w:r>
          </w:p>
        </w:tc>
        <w:tc>
          <w:tcPr>
            <w:tcW w:w="1380" w:type="dxa"/>
            <w:tcBorders>
              <w:top w:val="nil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150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9150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0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电子竞技运动与管理</w:t>
            </w:r>
          </w:p>
        </w:tc>
        <w:tc>
          <w:tcPr>
            <w:tcW w:w="1380" w:type="dxa"/>
            <w:tcBorders>
              <w:top w:val="nil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0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视觉传播设计与制作</w:t>
            </w:r>
          </w:p>
        </w:tc>
        <w:tc>
          <w:tcPr>
            <w:tcW w:w="1380" w:type="dxa"/>
            <w:tcBorders>
              <w:top w:val="nil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0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游戏设计</w:t>
            </w:r>
          </w:p>
        </w:tc>
        <w:tc>
          <w:tcPr>
            <w:tcW w:w="1380" w:type="dxa"/>
            <w:tcBorders>
              <w:top w:val="nil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0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 xml:space="preserve"> 游戏设计（VR方向）</w:t>
            </w:r>
          </w:p>
        </w:tc>
        <w:tc>
          <w:tcPr>
            <w:tcW w:w="1380" w:type="dxa"/>
            <w:tcBorders>
              <w:top w:val="nil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0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数字展示技术（VR方向）</w:t>
            </w:r>
          </w:p>
        </w:tc>
        <w:tc>
          <w:tcPr>
            <w:tcW w:w="1380" w:type="dxa"/>
            <w:tcBorders>
              <w:top w:val="nil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0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动漫设计</w:t>
            </w:r>
          </w:p>
        </w:tc>
        <w:tc>
          <w:tcPr>
            <w:tcW w:w="1380" w:type="dxa"/>
            <w:tcBorders>
              <w:top w:val="nil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0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动漫制作技术（VR方向）</w:t>
            </w:r>
          </w:p>
        </w:tc>
        <w:tc>
          <w:tcPr>
            <w:tcW w:w="1380" w:type="dxa"/>
            <w:tcBorders>
              <w:top w:val="nil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100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9100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0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产品艺术设计</w:t>
            </w:r>
          </w:p>
        </w:tc>
        <w:tc>
          <w:tcPr>
            <w:tcW w:w="1380" w:type="dxa"/>
            <w:tcBorders>
              <w:top w:val="nil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00" w:type="dxa"/>
            <w:vMerge w:val="restart"/>
            <w:tcBorders>
              <w:top w:val="nil"/>
              <w:left w:val="single" w:color="auto" w:sz="4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智能产业学院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物联网工程技术</w:t>
            </w:r>
          </w:p>
        </w:tc>
        <w:tc>
          <w:tcPr>
            <w:tcW w:w="1380" w:type="dxa"/>
            <w:tcBorders>
              <w:top w:val="nil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0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大数据技术与应用</w:t>
            </w:r>
          </w:p>
        </w:tc>
        <w:tc>
          <w:tcPr>
            <w:tcW w:w="1380" w:type="dxa"/>
            <w:tcBorders>
              <w:top w:val="nil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0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智能终端技术与应用</w:t>
            </w:r>
          </w:p>
        </w:tc>
        <w:tc>
          <w:tcPr>
            <w:tcW w:w="1380" w:type="dxa"/>
            <w:tcBorders>
              <w:top w:val="nil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0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智能产品开发</w:t>
            </w:r>
          </w:p>
        </w:tc>
        <w:tc>
          <w:tcPr>
            <w:tcW w:w="1380" w:type="dxa"/>
            <w:tcBorders>
              <w:top w:val="nil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0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软件技术</w:t>
            </w:r>
          </w:p>
        </w:tc>
        <w:tc>
          <w:tcPr>
            <w:tcW w:w="1380" w:type="dxa"/>
            <w:tcBorders>
              <w:top w:val="nil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0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移动互联应用技术</w:t>
            </w:r>
          </w:p>
        </w:tc>
        <w:tc>
          <w:tcPr>
            <w:tcW w:w="1380" w:type="dxa"/>
            <w:tcBorders>
              <w:top w:val="nil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0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数字媒体应用技术（VR方向）</w:t>
            </w:r>
          </w:p>
        </w:tc>
        <w:tc>
          <w:tcPr>
            <w:tcW w:w="1380" w:type="dxa"/>
            <w:tcBorders>
              <w:top w:val="nil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0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信息安全与管理</w:t>
            </w:r>
          </w:p>
        </w:tc>
        <w:tc>
          <w:tcPr>
            <w:tcW w:w="1380" w:type="dxa"/>
            <w:tcBorders>
              <w:top w:val="nil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00" w:type="dxa"/>
            <w:vMerge w:val="restart"/>
            <w:tcBorders>
              <w:top w:val="nil"/>
              <w:left w:val="single" w:color="auto" w:sz="4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建筑工程系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建设工程管理</w:t>
            </w:r>
          </w:p>
        </w:tc>
        <w:tc>
          <w:tcPr>
            <w:tcW w:w="1380" w:type="dxa"/>
            <w:tcBorders>
              <w:top w:val="nil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8000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0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工程造价</w:t>
            </w:r>
          </w:p>
        </w:tc>
        <w:tc>
          <w:tcPr>
            <w:tcW w:w="1380" w:type="dxa"/>
            <w:tcBorders>
              <w:top w:val="nil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8000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0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室内艺术设计</w:t>
            </w:r>
          </w:p>
        </w:tc>
        <w:tc>
          <w:tcPr>
            <w:tcW w:w="1380" w:type="dxa"/>
            <w:tcBorders>
              <w:top w:val="nil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8000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0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建筑室内设计</w:t>
            </w:r>
          </w:p>
        </w:tc>
        <w:tc>
          <w:tcPr>
            <w:tcW w:w="1380" w:type="dxa"/>
            <w:tcBorders>
              <w:top w:val="nil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8000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0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建筑室内设计（</w:t>
            </w:r>
            <w:r>
              <w:rPr>
                <w:rFonts w:ascii="Calibri" w:hAnsi="Calibri" w:cs="Calibri"/>
                <w:b/>
                <w:bCs/>
                <w:color w:val="000000"/>
                <w:kern w:val="0"/>
                <w:sz w:val="20"/>
                <w:szCs w:val="20"/>
              </w:rPr>
              <w:t>VR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方向）</w:t>
            </w:r>
          </w:p>
        </w:tc>
        <w:tc>
          <w:tcPr>
            <w:tcW w:w="1380" w:type="dxa"/>
            <w:tcBorders>
              <w:top w:val="nil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8000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8050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00" w:type="dxa"/>
            <w:vMerge w:val="restart"/>
            <w:tcBorders>
              <w:top w:val="nil"/>
              <w:left w:val="single" w:color="auto" w:sz="4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经济管理系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会计</w:t>
            </w:r>
          </w:p>
        </w:tc>
        <w:tc>
          <w:tcPr>
            <w:tcW w:w="1380" w:type="dxa"/>
            <w:tcBorders>
              <w:top w:val="nil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7000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7000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0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物流管理</w:t>
            </w:r>
          </w:p>
        </w:tc>
        <w:tc>
          <w:tcPr>
            <w:tcW w:w="1380" w:type="dxa"/>
            <w:tcBorders>
              <w:top w:val="nil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7000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7000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00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物流金融管理</w:t>
            </w:r>
          </w:p>
        </w:tc>
        <w:tc>
          <w:tcPr>
            <w:tcW w:w="1380" w:type="dxa"/>
            <w:tcBorders>
              <w:top w:val="nil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7000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7000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3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互联网金融</w:t>
            </w:r>
          </w:p>
        </w:tc>
        <w:tc>
          <w:tcPr>
            <w:tcW w:w="13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7000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7000</w:t>
            </w:r>
          </w:p>
        </w:tc>
      </w:tr>
    </w:tbl>
    <w:p>
      <w:pPr>
        <w:spacing w:before="156" w:beforeLines="5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b/>
          <w:szCs w:val="21"/>
        </w:rPr>
        <w:t>缴费方式</w:t>
      </w:r>
      <w:r>
        <w:rPr>
          <w:rFonts w:hint="eastAsia" w:ascii="宋体" w:hAnsi="宋体"/>
          <w:szCs w:val="21"/>
        </w:rPr>
        <w:t>：</w:t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/>
          <w:b/>
          <w:szCs w:val="21"/>
        </w:rPr>
      </w:pPr>
      <w:r>
        <w:rPr>
          <w:rFonts w:hint="eastAsia" w:ascii="宋体" w:hAnsi="宋体"/>
          <w:b/>
          <w:szCs w:val="21"/>
          <w:u w:val="single"/>
        </w:rPr>
        <w:t>请务必于2021年8月</w:t>
      </w:r>
      <w:r>
        <w:rPr>
          <w:rFonts w:ascii="宋体" w:hAnsi="宋体"/>
          <w:b/>
          <w:szCs w:val="21"/>
          <w:u w:val="single"/>
        </w:rPr>
        <w:t>23</w:t>
      </w:r>
      <w:r>
        <w:rPr>
          <w:rFonts w:hint="eastAsia" w:ascii="宋体" w:hAnsi="宋体"/>
          <w:b/>
          <w:szCs w:val="21"/>
          <w:u w:val="single"/>
        </w:rPr>
        <w:t>日前</w:t>
      </w:r>
      <w:r>
        <w:rPr>
          <w:rFonts w:hint="eastAsia" w:ascii="宋体" w:hAnsi="宋体"/>
          <w:szCs w:val="21"/>
        </w:rPr>
        <w:t>将</w:t>
      </w:r>
      <w:r>
        <w:rPr>
          <w:rFonts w:hint="eastAsia" w:ascii="宋体" w:hAnsi="宋体" w:cs="宋体"/>
          <w:b/>
          <w:bCs/>
          <w:color w:val="000000"/>
          <w:kern w:val="0"/>
          <w:szCs w:val="21"/>
        </w:rPr>
        <w:t>学费及代办费</w:t>
      </w:r>
      <w:r>
        <w:rPr>
          <w:rFonts w:hint="eastAsia" w:ascii="宋体" w:hAnsi="宋体"/>
          <w:b/>
          <w:szCs w:val="21"/>
        </w:rPr>
        <w:t>合计金额</w:t>
      </w:r>
      <w:r>
        <w:rPr>
          <w:rFonts w:hint="eastAsia" w:ascii="宋体" w:hAnsi="宋体"/>
          <w:szCs w:val="21"/>
        </w:rPr>
        <w:t>通过“云缴费平台”进行缴费</w:t>
      </w:r>
      <w:r>
        <w:rPr>
          <w:rFonts w:ascii="宋体" w:hAnsi="宋体"/>
          <w:szCs w:val="21"/>
        </w:rPr>
        <w:t>。</w:t>
      </w:r>
      <w:r>
        <w:rPr>
          <w:rFonts w:hint="eastAsia" w:ascii="宋体" w:hAnsi="宋体"/>
          <w:b/>
          <w:szCs w:val="21"/>
        </w:rPr>
        <w:t>（强烈推荐！！！）</w:t>
      </w:r>
    </w:p>
    <w:p>
      <w:pPr>
        <w:spacing w:line="360" w:lineRule="auto"/>
        <w:rPr>
          <w:rFonts w:hint="eastAsia" w:ascii="宋体" w:hAnsi="宋体"/>
          <w:b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hint="eastAsia" w:ascii="宋体" w:hAnsi="宋体"/>
          <w:b/>
          <w:szCs w:val="21"/>
        </w:rPr>
        <w:t>注</w:t>
      </w:r>
      <w:r>
        <w:rPr>
          <w:rFonts w:hint="eastAsia" w:ascii="宋体" w:hAnsi="宋体"/>
          <w:szCs w:val="21"/>
        </w:rPr>
        <w:t>，缴费</w:t>
      </w:r>
      <w:r>
        <w:rPr>
          <w:rFonts w:ascii="宋体" w:hAnsi="宋体"/>
          <w:szCs w:val="21"/>
        </w:rPr>
        <w:t>号码为本人</w:t>
      </w:r>
      <w:r>
        <w:rPr>
          <w:rFonts w:ascii="宋体" w:hAnsi="宋体"/>
          <w:szCs w:val="21"/>
          <w:highlight w:val="yellow"/>
        </w:rPr>
        <w:t>身份证号码</w:t>
      </w:r>
      <w:r>
        <w:rPr>
          <w:rFonts w:ascii="宋体" w:hAnsi="宋体"/>
          <w:szCs w:val="21"/>
        </w:rPr>
        <w:t>。有关缴费事宜请</w:t>
      </w:r>
      <w:r>
        <w:rPr>
          <w:rFonts w:hint="eastAsia" w:ascii="宋体" w:hAnsi="宋体"/>
          <w:szCs w:val="21"/>
        </w:rPr>
        <w:t>先</w:t>
      </w:r>
      <w:r>
        <w:rPr>
          <w:rFonts w:ascii="宋体" w:hAnsi="宋体"/>
          <w:szCs w:val="21"/>
        </w:rPr>
        <w:t>详细阅读《招商银行云缴费手册》</w:t>
      </w:r>
      <w:r>
        <w:rPr>
          <w:rFonts w:hint="eastAsia" w:ascii="宋体" w:hAnsi="宋体"/>
          <w:szCs w:val="21"/>
        </w:rPr>
        <w:t>）。请提前存入，以免影响新学年的学籍注册。</w:t>
      </w:r>
    </w:p>
    <w:p>
      <w:pPr>
        <w:spacing w:line="360" w:lineRule="auto"/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② 存入学院账户并在备注栏写明学号、姓名。</w:t>
      </w:r>
    </w:p>
    <w:p>
      <w:pPr>
        <w:spacing w:line="400" w:lineRule="exact"/>
        <w:ind w:firstLine="3985" w:firstLineChars="1898"/>
        <w:rPr>
          <w:rFonts w:hint="eastAsia" w:ascii="宋体" w:hAnsi="宋体"/>
          <w:szCs w:val="13"/>
        </w:rPr>
      </w:pPr>
      <w:r>
        <w:rPr>
          <w:rFonts w:hint="eastAsia" w:ascii="Calibri" w:hAnsi="Calibri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46355</wp:posOffset>
                </wp:positionV>
                <wp:extent cx="2857500" cy="760730"/>
                <wp:effectExtent l="4445" t="5080" r="14605" b="1524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760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宋体" w:hAnsi="宋体"/>
                                <w:b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24"/>
                                <w:szCs w:val="18"/>
                              </w:rPr>
                              <w:t>全  称：福州软件职业技术学院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hint="eastAsia" w:ascii="Calibri" w:hAnsi="Calibri"/>
                                <w:b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24"/>
                                <w:szCs w:val="18"/>
                              </w:rPr>
                              <w:t>账  号：</w:t>
                            </w:r>
                            <w:r>
                              <w:rPr>
                                <w:rFonts w:ascii="宋体" w:hAnsi="宋体"/>
                                <w:b/>
                                <w:bCs/>
                                <w:sz w:val="24"/>
                                <w:szCs w:val="18"/>
                              </w:rPr>
                              <w:t>591906408410801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hint="eastAsia" w:ascii="宋体" w:hAnsi="宋体"/>
                                <w:b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 w:val="24"/>
                                <w:szCs w:val="18"/>
                              </w:rPr>
                              <w:t>开户行：招商银行</w:t>
                            </w:r>
                            <w:r>
                              <w:rPr>
                                <w:rFonts w:ascii="宋体" w:hAnsi="宋体"/>
                                <w:b/>
                                <w:sz w:val="24"/>
                                <w:szCs w:val="18"/>
                              </w:rPr>
                              <w:t>福州鼓楼支行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5pt;margin-top:3.65pt;height:59.9pt;width:225pt;z-index:251659264;mso-width-relative:page;mso-height-relative:page;" fillcolor="#FFFFFF" filled="t" stroked="t" coordsize="21600,21600" o:gfxdata="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oSGa/9gAAAAJAQAADwAAAAAAAAABACAA&#10;AAAiAAAAZHJzL2Rvd25yZXYueG1sUEsBAhQAFAAAAAgAh07iQG9QlzoNAgAANg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ascii="宋体" w:hAnsi="宋体"/>
                          <w:b/>
                          <w:sz w:val="24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24"/>
                          <w:szCs w:val="18"/>
                        </w:rPr>
                        <w:t>全  称：福州软件职业技术学院</w:t>
                      </w:r>
                    </w:p>
                    <w:p>
                      <w:pPr>
                        <w:spacing w:line="320" w:lineRule="exact"/>
                        <w:rPr>
                          <w:rFonts w:hint="eastAsia" w:ascii="Calibri" w:hAnsi="Calibri"/>
                          <w:b/>
                          <w:sz w:val="24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24"/>
                          <w:szCs w:val="18"/>
                        </w:rPr>
                        <w:t>账  号：</w:t>
                      </w:r>
                      <w:r>
                        <w:rPr>
                          <w:rFonts w:ascii="宋体" w:hAnsi="宋体"/>
                          <w:b/>
                          <w:bCs/>
                          <w:sz w:val="24"/>
                          <w:szCs w:val="18"/>
                        </w:rPr>
                        <w:t>591906408410801</w:t>
                      </w:r>
                    </w:p>
                    <w:p>
                      <w:pPr>
                        <w:spacing w:line="320" w:lineRule="exact"/>
                        <w:rPr>
                          <w:rFonts w:hint="eastAsia" w:ascii="宋体" w:hAnsi="宋体"/>
                          <w:b/>
                          <w:sz w:val="24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 w:val="24"/>
                          <w:szCs w:val="18"/>
                        </w:rPr>
                        <w:t>开户行：招商银行</w:t>
                      </w:r>
                      <w:r>
                        <w:rPr>
                          <w:rFonts w:ascii="宋体" w:hAnsi="宋体"/>
                          <w:b/>
                          <w:sz w:val="24"/>
                          <w:szCs w:val="18"/>
                        </w:rPr>
                        <w:t>福州鼓楼支行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firstLine="3985" w:firstLineChars="1898"/>
        <w:rPr>
          <w:rFonts w:hint="eastAsia" w:ascii="宋体" w:hAnsi="宋体"/>
          <w:szCs w:val="13"/>
        </w:rPr>
      </w:pPr>
      <w:r>
        <w:rPr>
          <w:rFonts w:hint="eastAsia" w:ascii="宋体" w:hAnsi="宋体"/>
          <w:szCs w:val="13"/>
        </w:rPr>
        <w:t>学院账户：</w:t>
      </w:r>
    </w:p>
    <w:p>
      <w:pPr>
        <w:jc w:val="center"/>
        <w:rPr>
          <w:rFonts w:hint="eastAsia" w:ascii="仿宋_GB2312" w:hAnsi="宋体" w:eastAsia="仿宋_GB2312"/>
          <w:b/>
          <w:bCs/>
          <w:sz w:val="28"/>
          <w:szCs w:val="28"/>
        </w:rPr>
      </w:pPr>
      <w:r>
        <w:rPr>
          <w:rFonts w:hint="eastAsia" w:ascii="仿宋_GB2312" w:hAnsi="宋体" w:eastAsia="仿宋_GB2312"/>
          <w:b/>
          <w:bCs/>
          <w:sz w:val="28"/>
          <w:szCs w:val="28"/>
        </w:rPr>
        <w:t xml:space="preserve">                      </w:t>
      </w:r>
    </w:p>
    <w:p>
      <w:pPr>
        <w:jc w:val="center"/>
        <w:rPr>
          <w:rFonts w:hint="eastAsia" w:ascii="宋体" w:hAnsi="宋体"/>
          <w:b/>
          <w:bCs/>
          <w:sz w:val="28"/>
          <w:szCs w:val="28"/>
        </w:rPr>
      </w:pPr>
      <w:r>
        <w:rPr>
          <w:rFonts w:ascii="宋体" w:hAnsi="宋体"/>
          <w:b/>
          <w:bCs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850900</wp:posOffset>
            </wp:positionH>
            <wp:positionV relativeFrom="margin">
              <wp:posOffset>662940</wp:posOffset>
            </wp:positionV>
            <wp:extent cx="5928360" cy="9086215"/>
            <wp:effectExtent l="0" t="0" r="15240" b="635"/>
            <wp:wrapSquare wrapText="bothSides"/>
            <wp:docPr id="3" name="图片 2" descr="webwxgetmsgimg（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webwxgetmsgimg（1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908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85000</wp14:pctHeight>
            </wp14:sizeRelV>
          </wp:anchor>
        </w:drawing>
      </w:r>
      <w:r>
        <w:rPr>
          <w:rFonts w:ascii="宋体" w:hAnsi="宋体"/>
          <w:b/>
          <w:bCs/>
          <w:sz w:val="28"/>
          <w:szCs w:val="28"/>
        </w:rPr>
        <w:br w:type="page"/>
      </w:r>
    </w:p>
    <w:p>
      <w:pPr>
        <w:jc w:val="center"/>
        <w:rPr>
          <w:rFonts w:hint="eastAsia" w:ascii="仿宋_GB2312" w:hAnsi="宋体" w:eastAsia="仿宋_GB2312"/>
          <w:b/>
          <w:bCs/>
          <w:sz w:val="28"/>
          <w:szCs w:val="28"/>
        </w:rPr>
      </w:pPr>
    </w:p>
    <w:p>
      <w:bookmarkStart w:id="0" w:name="_GoBack"/>
      <w:r>
        <w:rPr>
          <w:rFonts w:hint="eastAsia" w:ascii="宋体" w:hAnsi="宋体"/>
          <w:b/>
          <w:bCs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440055</wp:posOffset>
            </wp:positionV>
            <wp:extent cx="6400800" cy="8619490"/>
            <wp:effectExtent l="0" t="0" r="0" b="10160"/>
            <wp:wrapSquare wrapText="bothSides"/>
            <wp:docPr id="4" name="图片 3" descr="webwxgetmsgimg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webwxgetmsgimg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61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284" w:right="748" w:bottom="249" w:left="902" w:header="851" w:footer="907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AA44451"/>
    <w:multiLevelType w:val="multilevel"/>
    <w:tmpl w:val="4AA44451"/>
    <w:lvl w:ilvl="0" w:tentative="0">
      <w:start w:val="1"/>
      <w:numFmt w:val="decimalEnclosedCircle"/>
      <w:lvlText w:val="%1"/>
      <w:lvlJc w:val="left"/>
      <w:pPr>
        <w:ind w:left="780" w:hanging="360"/>
      </w:pPr>
      <w:rPr>
        <w:rFonts w:hint="default"/>
        <w:b w:val="0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5D43DED"/>
    <w:rsid w:val="62627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2022-03-07T06:37:00Z</dcterms:created>
  <dc:creator>HP</dc:creator>
  <cp:lastModifiedBy>CRuoooofei</cp:lastModifiedBy>
  <dcterms:modified xsi:type="dcterms:W3CDTF">2022-03-07T06:38:51Z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852989AB43534F679823CC3832D2439E</vt:lpwstr>
  </property>
</Properties>
</file>