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福州软件职业技术学院201</w:t>
      </w:r>
      <w:r>
        <w:rPr>
          <w:rFonts w:ascii="宋体" w:hAnsi="宋体"/>
          <w:b/>
          <w:bCs/>
          <w:sz w:val="28"/>
          <w:szCs w:val="28"/>
        </w:rPr>
        <w:t>9</w:t>
      </w:r>
      <w:r>
        <w:rPr>
          <w:rFonts w:hint="eastAsia" w:ascii="宋体" w:hAnsi="宋体"/>
          <w:b/>
          <w:bCs/>
          <w:sz w:val="28"/>
          <w:szCs w:val="28"/>
        </w:rPr>
        <w:t>级</w:t>
      </w:r>
      <w:r>
        <w:rPr>
          <w:rFonts w:ascii="宋体" w:hAnsi="宋体"/>
          <w:b/>
          <w:bCs/>
          <w:sz w:val="28"/>
          <w:szCs w:val="28"/>
        </w:rPr>
        <w:t>20</w:t>
      </w:r>
      <w:r>
        <w:rPr>
          <w:rFonts w:hint="eastAsia" w:ascii="宋体" w:hAnsi="宋体"/>
          <w:b/>
          <w:bCs/>
          <w:sz w:val="28"/>
          <w:szCs w:val="28"/>
        </w:rPr>
        <w:t>-</w:t>
      </w:r>
      <w:r>
        <w:rPr>
          <w:rFonts w:ascii="宋体" w:hAnsi="宋体"/>
          <w:b/>
          <w:bCs/>
          <w:sz w:val="28"/>
          <w:szCs w:val="28"/>
        </w:rPr>
        <w:t>21</w:t>
      </w:r>
      <w:r>
        <w:rPr>
          <w:rFonts w:hint="eastAsia" w:ascii="宋体" w:hAnsi="宋体"/>
          <w:b/>
          <w:bCs/>
          <w:sz w:val="28"/>
          <w:szCs w:val="28"/>
        </w:rPr>
        <w:t>学年收费标准</w:t>
      </w:r>
      <w:r>
        <w:rPr>
          <w:rFonts w:hint="eastAsia" w:ascii="宋体" w:hAnsi="宋体"/>
          <w:b/>
          <w:bCs/>
          <w:sz w:val="15"/>
          <w:szCs w:val="15"/>
        </w:rPr>
        <w:t>（单位:元/学年）</w:t>
      </w:r>
    </w:p>
    <w:tbl>
      <w:tblPr>
        <w:tblStyle w:val="2"/>
        <w:tblW w:w="960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2838"/>
        <w:gridCol w:w="764"/>
        <w:gridCol w:w="764"/>
        <w:gridCol w:w="764"/>
        <w:gridCol w:w="778"/>
        <w:gridCol w:w="764"/>
        <w:gridCol w:w="764"/>
        <w:gridCol w:w="764"/>
        <w:gridCol w:w="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系部</w:t>
            </w:r>
          </w:p>
        </w:tc>
        <w:tc>
          <w:tcPr>
            <w:tcW w:w="28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3069" w:type="dxa"/>
            <w:gridSpan w:val="4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doub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学费及代办费</w:t>
            </w:r>
          </w:p>
        </w:tc>
        <w:tc>
          <w:tcPr>
            <w:tcW w:w="3069" w:type="dxa"/>
            <w:gridSpan w:val="4"/>
            <w:tcBorders>
              <w:top w:val="double" w:color="auto" w:sz="6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学费及代办费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培养费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2"/>
                <w:szCs w:val="12"/>
              </w:rPr>
              <w:t>住宿费                (6人间)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教材费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培养费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2"/>
                <w:szCs w:val="12"/>
              </w:rPr>
              <w:t>住宿费                (4人间)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教材费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游戏产业学院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虚拟与现实应用技术</w:t>
            </w:r>
          </w:p>
        </w:tc>
        <w:tc>
          <w:tcPr>
            <w:tcW w:w="764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11200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电子竞技运动与管理</w:t>
            </w:r>
          </w:p>
        </w:tc>
        <w:tc>
          <w:tcPr>
            <w:tcW w:w="764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11200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视觉传播设计与制作</w:t>
            </w:r>
          </w:p>
        </w:tc>
        <w:tc>
          <w:tcPr>
            <w:tcW w:w="764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11200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游戏设计</w:t>
            </w:r>
          </w:p>
        </w:tc>
        <w:tc>
          <w:tcPr>
            <w:tcW w:w="764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11200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游戏设计（VR方向）</w:t>
            </w:r>
          </w:p>
        </w:tc>
        <w:tc>
          <w:tcPr>
            <w:tcW w:w="764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11200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数字展示技术（VR方向）</w:t>
            </w:r>
          </w:p>
        </w:tc>
        <w:tc>
          <w:tcPr>
            <w:tcW w:w="764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11200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动漫设计</w:t>
            </w:r>
          </w:p>
        </w:tc>
        <w:tc>
          <w:tcPr>
            <w:tcW w:w="764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11200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动漫制作技术（VR方向）</w:t>
            </w:r>
          </w:p>
        </w:tc>
        <w:tc>
          <w:tcPr>
            <w:tcW w:w="764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11200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产品艺术设计</w:t>
            </w:r>
          </w:p>
        </w:tc>
        <w:tc>
          <w:tcPr>
            <w:tcW w:w="764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11200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智能产业学院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物联网工程技术</w:t>
            </w:r>
          </w:p>
        </w:tc>
        <w:tc>
          <w:tcPr>
            <w:tcW w:w="764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11200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大数据技术与应用</w:t>
            </w:r>
          </w:p>
        </w:tc>
        <w:tc>
          <w:tcPr>
            <w:tcW w:w="764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11200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智能终端技术与应用</w:t>
            </w:r>
          </w:p>
        </w:tc>
        <w:tc>
          <w:tcPr>
            <w:tcW w:w="764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11200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智能产品开发</w:t>
            </w:r>
          </w:p>
        </w:tc>
        <w:tc>
          <w:tcPr>
            <w:tcW w:w="764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11200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764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11200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移动互联应用技术</w:t>
            </w:r>
          </w:p>
        </w:tc>
        <w:tc>
          <w:tcPr>
            <w:tcW w:w="764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11200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数字媒体应用技术（VR方向）</w:t>
            </w:r>
          </w:p>
        </w:tc>
        <w:tc>
          <w:tcPr>
            <w:tcW w:w="764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11200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信息安全与管理</w:t>
            </w:r>
          </w:p>
        </w:tc>
        <w:tc>
          <w:tcPr>
            <w:tcW w:w="764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11200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建筑工程系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建设工程管理</w:t>
            </w:r>
          </w:p>
        </w:tc>
        <w:tc>
          <w:tcPr>
            <w:tcW w:w="764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8000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8000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10300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764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8000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8000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10300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室内艺术设计</w:t>
            </w:r>
          </w:p>
        </w:tc>
        <w:tc>
          <w:tcPr>
            <w:tcW w:w="764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8000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8000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10300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建筑室内设计</w:t>
            </w:r>
          </w:p>
        </w:tc>
        <w:tc>
          <w:tcPr>
            <w:tcW w:w="764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8000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8000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10300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建筑室内设计（</w:t>
            </w:r>
            <w:r>
              <w:rPr>
                <w:rFonts w:ascii="Calibri" w:hAnsi="Calibri" w:cs="宋体"/>
                <w:b/>
                <w:bCs/>
                <w:color w:val="000000"/>
                <w:kern w:val="0"/>
                <w:sz w:val="20"/>
                <w:szCs w:val="20"/>
              </w:rPr>
              <w:t>VR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方向）</w:t>
            </w:r>
          </w:p>
        </w:tc>
        <w:tc>
          <w:tcPr>
            <w:tcW w:w="764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8000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8000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10300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764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7000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7000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9300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764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7000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7000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9300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物流金融管理</w:t>
            </w:r>
          </w:p>
        </w:tc>
        <w:tc>
          <w:tcPr>
            <w:tcW w:w="764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7000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7000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9300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互联网金融</w:t>
            </w:r>
          </w:p>
        </w:tc>
        <w:tc>
          <w:tcPr>
            <w:tcW w:w="764" w:type="dxa"/>
            <w:tcBorders>
              <w:top w:val="nil"/>
              <w:left w:val="double" w:color="auto" w:sz="6" w:space="0"/>
              <w:bottom w:val="doub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7000</w:t>
            </w:r>
          </w:p>
        </w:tc>
        <w:tc>
          <w:tcPr>
            <w:tcW w:w="76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76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778" w:type="dxa"/>
            <w:tcBorders>
              <w:top w:val="nil"/>
              <w:left w:val="nil"/>
              <w:bottom w:val="double" w:color="auto" w:sz="6" w:space="0"/>
              <w:right w:val="doub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76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7000</w:t>
            </w:r>
          </w:p>
        </w:tc>
        <w:tc>
          <w:tcPr>
            <w:tcW w:w="76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76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778" w:type="dxa"/>
            <w:tcBorders>
              <w:top w:val="nil"/>
              <w:left w:val="nil"/>
              <w:bottom w:val="double" w:color="auto" w:sz="6" w:space="0"/>
              <w:right w:val="doub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9300</w:t>
            </w:r>
          </w:p>
        </w:tc>
      </w:tr>
    </w:tbl>
    <w:p>
      <w:pPr>
        <w:jc w:val="center"/>
        <w:rPr>
          <w:rFonts w:hint="eastAsia"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 xml:space="preserve">                      </w:t>
      </w:r>
    </w:p>
    <w:p>
      <w:bookmarkStart w:id="0" w:name="_GoBack"/>
      <w:bookmarkEnd w:id="0"/>
    </w:p>
    <w:sectPr>
      <w:pgSz w:w="11906" w:h="16838"/>
      <w:pgMar w:top="284" w:right="748" w:bottom="249" w:left="902" w:header="851" w:footer="907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30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2022-03-07T06:25:28Z</dcterms:created>
  <dc:creator>HP</dc:creator>
  <cp:lastModifiedBy>CRuoooofei</cp:lastModifiedBy>
  <dcterms:modified xsi:type="dcterms:W3CDTF">2022-03-07T06:25:32Z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73323B96798C4AD9B2BCBD7F8E54AE4E</vt:lpwstr>
  </property>
</Properties>
</file>